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3"/>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w:t>
      </w:r>
      <w:r>
        <w:rPr>
          <w:rFonts w:ascii="黑体" w:hAnsi="黑体" w:eastAsia="黑体" w:cs="黑体"/>
          <w:b/>
          <w:color w:val="000000"/>
          <w:sz w:val="36"/>
          <w:highlight w:val="none"/>
        </w:rPr>
        <w:t xml:space="preserve">淮安市博物馆电梯设备采购项目</w:t>
      </w:r>
      <w:r>
        <w:rPr>
          <w:rFonts w:hint="eastAsia" w:ascii="黑体" w:hAnsi="黑体" w:eastAsia="黑体"/>
          <w:b/>
          <w:sz w:val="36"/>
          <w:szCs w:val="36"/>
        </w:rPr>
      </w:r>
      <w:r/>
    </w:p>
    <w:p>
      <w:pPr>
        <w:pStyle w:val="893"/>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89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3"/>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JSZC-320800-JZCG-G2026-0025</w:t>
      </w:r>
      <w:r>
        <w:rPr>
          <w:rFonts w:hint="eastAsia" w:ascii="黑体" w:hAnsi="黑体" w:eastAsia="黑体"/>
          <w:b/>
          <w:sz w:val="36"/>
        </w:rPr>
      </w:r>
      <w:r/>
    </w:p>
    <w:p>
      <w:pPr>
        <w:pStyle w:val="893"/>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3"/>
        <w:keepLines w:val="0"/>
        <w:keepNext w:val="0"/>
        <w:pageBreakBefore w:val="0"/>
        <w:rPr>
          <w:rFonts w:ascii="黑体" w:hAnsi="黑体" w:eastAsia="黑体"/>
          <w:b/>
          <w:sz w:val="32"/>
        </w:rPr>
        <w:outlineLvl w:val="9"/>
      </w:pPr>
      <w:r>
        <w:rPr>
          <w:rFonts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3"/>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3"/>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四</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三</w:t>
      </w:r>
      <w:r>
        <w:rPr>
          <w:rFonts w:hint="eastAsia" w:ascii="黑体" w:hAnsi="黑体" w:eastAsia="黑体"/>
          <w:b/>
          <w:sz w:val="36"/>
          <w:szCs w:val="36"/>
        </w:rPr>
        <w:t xml:space="preserve">日</w:t>
      </w:r>
      <w:r>
        <w:rPr>
          <w:rFonts w:hint="eastAsia" w:ascii="宋体" w:hAnsi="宋体"/>
          <w:sz w:val="24"/>
        </w:rPr>
      </w:r>
      <w:r/>
    </w:p>
    <w:p>
      <w:pPr>
        <w:pStyle w:val="893"/>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3"/>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w:t>
      </w:r>
      <w:r>
        <w:rPr>
          <w:rFonts w:ascii="仿宋" w:hAnsi="仿宋" w:eastAsia="仿宋" w:cs="仿宋"/>
          <w:color w:val="000000"/>
          <w:sz w:val="28"/>
          <w:highlight w:val="none"/>
        </w:rPr>
        <w:t xml:space="preserve">淮安市博物馆</w:t>
      </w:r>
      <w:r>
        <w:rPr>
          <w:rFonts w:hint="eastAsia" w:ascii="仿宋" w:hAnsi="仿宋" w:eastAsia="仿宋"/>
          <w:sz w:val="28"/>
        </w:rPr>
        <w:t xml:space="preserve">的委托，淮安市政府采购中心就</w:t>
      </w:r>
      <w:r>
        <w:rPr>
          <w:rFonts w:hint="eastAsia" w:ascii="仿宋" w:hAnsi="仿宋" w:eastAsia="仿宋"/>
          <w:sz w:val="28"/>
          <w:lang w:val="en-US" w:eastAsia="zh-CN"/>
        </w:rPr>
        <w:t xml:space="preserve">淮</w:t>
      </w:r>
      <w:r>
        <w:rPr>
          <w:rFonts w:ascii="仿宋" w:hAnsi="仿宋" w:eastAsia="仿宋" w:cs="仿宋"/>
          <w:color w:val="000000"/>
          <w:sz w:val="28"/>
          <w:highlight w:val="none"/>
        </w:rPr>
        <w:t xml:space="preserve">安市博物馆电梯设备采购项目</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0213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802130"/>
                        </a:xfrm>
                        <a:prstGeom prst="rect">
                          <a:avLst/>
                        </a:prstGeom>
                        <a:solidFill>
                          <a:srgbClr val="FFFFFF"/>
                        </a:solidFill>
                        <a:ln>
                          <a:solidFill>
                            <a:srgbClr val="000000"/>
                          </a:solidFill>
                        </a:ln>
                      </wps:spPr>
                      <wps:txbx>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淮安市博物馆电梯设备采购项目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月24日9点30分（北京时间）前提交投标文件。</w:t>
                            </w:r>
                            <w:r>
                              <w:rPr>
                                <w:rFonts w:ascii="仿宋" w:hAnsi="仿宋" w:eastAsia="仿宋"/>
                                <w:sz w:val="28"/>
                                <w:szCs w:val="28"/>
                              </w:rPr>
                            </w:r>
                            <w:r/>
                          </w:p>
                          <w:p>
                            <w:pPr>
                              <w:pStyle w:val="893"/>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1.9pt;mso-wrap-distance-left:9.0pt;mso-wrap-distance-top:0.0pt;mso-wrap-distance-right:9.0pt;mso-wrap-distance-bottom:0.0pt;visibility:visible;" fillcolor="#FFFFFF" strokecolor="#000000">
                <v:textbox inset="0,0,0,0">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淮安市博物馆电梯设备采购项目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月24日9点30分（北京时间）前提交投标文件。</w:t>
                      </w:r>
                      <w:r>
                        <w:rPr>
                          <w:rFonts w:ascii="仿宋" w:hAnsi="仿宋" w:eastAsia="仿宋"/>
                          <w:sz w:val="28"/>
                          <w:szCs w:val="28"/>
                        </w:rPr>
                      </w:r>
                      <w:r/>
                    </w:p>
                    <w:p>
                      <w:pPr>
                        <w:pStyle w:val="893"/>
                      </w:pPr>
                      <w:r/>
                      <w:r/>
                    </w:p>
                  </w:txbxContent>
                </v:textbox>
              </v:shape>
            </w:pict>
          </mc:Fallback>
        </mc:AlternateContent>
      </w: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（一）项目编号:JSZC-320800-JZCG-G2026-0025</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sz w:val="28"/>
          <w:lang w:val="en-US" w:eastAsia="zh-CN"/>
        </w:rPr>
        <w:t xml:space="preserve">淮</w:t>
      </w:r>
      <w:r>
        <w:rPr>
          <w:rFonts w:ascii="仿宋" w:hAnsi="仿宋" w:eastAsia="仿宋" w:cs="仿宋"/>
          <w:color w:val="000000"/>
          <w:sz w:val="28"/>
          <w:highlight w:val="none"/>
        </w:rPr>
        <w:t xml:space="preserve">安市博物馆电梯设备采购项目</w:t>
      </w:r>
      <w:r>
        <w:rPr>
          <w:rFonts w:hint="eastAsia" w:ascii="仿宋" w:hAnsi="仿宋" w:eastAsia="仿宋"/>
          <w:bCs/>
          <w:sz w:val="28"/>
        </w:rPr>
        <w:t xml:space="preserve"> </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75.69</w:t>
      </w:r>
      <w:r>
        <w:rPr>
          <w:rFonts w:hint="eastAsia" w:ascii="仿宋" w:hAnsi="仿宋" w:eastAsia="仿宋"/>
          <w:sz w:val="28"/>
          <w:szCs w:val="28"/>
        </w:rPr>
        <w:t xml:space="preserve">万元</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75.69</w:t>
      </w:r>
      <w:r>
        <w:rPr>
          <w:rFonts w:hint="eastAsia" w:ascii="仿宋" w:hAnsi="仿宋" w:eastAsia="仿宋"/>
          <w:sz w:val="28"/>
          <w:szCs w:val="28"/>
        </w:rPr>
        <w:t xml:space="preserve">万元</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w:t>
      </w:r>
      <w:r>
        <w:rPr>
          <w:rFonts w:ascii="仿宋" w:hAnsi="仿宋" w:eastAsia="仿宋" w:cs="仿宋"/>
          <w:color w:val="000000"/>
          <w:sz w:val="28"/>
          <w:highlight w:val="none"/>
        </w:rPr>
        <w:t xml:space="preserve">电梯设备采购，详见招标文件第五章。</w:t>
      </w:r>
      <w:r>
        <w:rPr>
          <w:rFonts w:ascii="仿宋" w:hAnsi="仿宋" w:eastAsia="仿宋"/>
          <w:sz w:val="28"/>
          <w:szCs w:val="28"/>
        </w:rPr>
      </w:r>
      <w:r/>
    </w:p>
    <w:p>
      <w:pPr>
        <w:pStyle w:val="893"/>
        <w:ind w:left="0" w:right="0" w:firstLine="565"/>
        <w:jc w:val="both"/>
        <w:spacing w:before="0" w:after="0" w:line="519" w:lineRule="atLeast"/>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（六）合同履行期限:</w:t>
      </w:r>
      <w:r>
        <w:rPr>
          <w:rFonts w:ascii="仿宋" w:hAnsi="仿宋" w:eastAsia="仿宋" w:cs="仿宋"/>
          <w:color w:val="000000"/>
          <w:sz w:val="28"/>
          <w:highlight w:val="none"/>
        </w:rPr>
        <w:t xml:space="preserve">合同签订后，接到采购人排产通知后60天内完成交货及安装调试，通过电梯主管部门验收并取得电梯使用合格证书。</w:t>
      </w:r>
      <w:r>
        <w:rPr>
          <w:rFonts w:hint="eastAsia" w:ascii="仿宋" w:hAnsi="仿宋" w:eastAsia="仿宋"/>
          <w:sz w:val="28"/>
          <w:szCs w:val="28"/>
        </w:rPr>
        <w:t xml:space="preserve">        </w:t>
      </w:r>
      <w:r>
        <w:rPr>
          <w:rFonts w:hint="eastAsia"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工业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3"/>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3"/>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3"/>
        <w:ind w:firstLine="560"/>
        <w:keepLines w:val="0"/>
        <w:keepNext w:val="0"/>
        <w:pageBreakBefore w:val="0"/>
        <w:spacing w:line="520" w:lineRule="exact"/>
        <w:rPr>
          <w:rFonts w:ascii="仿宋" w:hAnsi="仿宋" w:eastAsia="仿宋"/>
          <w:color w:val="000000"/>
          <w:sz w:val="28"/>
          <w:szCs w:val="28"/>
          <w:lang w:val="zh-CN"/>
        </w:rPr>
        <w:outlineLvl w:val="9"/>
      </w:pPr>
      <w:r>
        <w:rPr>
          <w:rFonts w:hint="eastAsia" w:ascii="仿宋" w:hAnsi="仿宋" w:eastAsia="仿宋"/>
          <w:sz w:val="28"/>
          <w:szCs w:val="28"/>
        </w:rPr>
        <w:t xml:space="preserve">（三）本项目的特定资格要求:</w:t>
      </w:r>
      <w:r>
        <w:rPr>
          <w:rFonts w:ascii="仿宋" w:hAnsi="仿宋" w:eastAsia="仿宋" w:cs="仿宋"/>
          <w:color w:val="000000"/>
          <w:sz w:val="28"/>
          <w:highlight w:val="none"/>
        </w:rPr>
        <w:t xml:space="preserve">投标人或所投电梯制造商须具有有效期内的《中华人民共和国特种设备生产许可证》（包含乘客电梯许可项目）。</w:t>
      </w:r>
      <w:r>
        <w:rPr>
          <w:rFonts w:ascii="仿宋" w:hAnsi="仿宋" w:eastAsia="仿宋"/>
          <w:color w:val="000000"/>
          <w:sz w:val="28"/>
          <w:szCs w:val="28"/>
          <w:lang w:val="zh-CN"/>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3"/>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月24日上午</w:t>
      </w:r>
      <w:r>
        <w:rPr>
          <w:rFonts w:ascii="仿宋" w:hAnsi="仿宋" w:eastAsia="仿宋"/>
          <w:sz w:val="28"/>
          <w:szCs w:val="28"/>
        </w:rPr>
        <w:t xml:space="preserve">09</w:t>
      </w:r>
      <w:r>
        <w:rPr>
          <w:rFonts w:ascii="仿宋" w:hAnsi="仿宋" w:eastAsia="仿宋"/>
          <w:sz w:val="28"/>
          <w:szCs w:val="28"/>
        </w:rPr>
        <w:t xml:space="preserve">:30</w:t>
      </w:r>
      <w:r>
        <w:rPr>
          <w:rFonts w:ascii="仿宋" w:hAnsi="仿宋" w:eastAsia="仿宋"/>
          <w:sz w:val="28"/>
          <w:szCs w:val="28"/>
        </w:rPr>
        <w:t xml:space="preserve">。</w:t>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w:t>
      </w:r>
      <w:r>
        <w:rPr>
          <w:rFonts w:ascii="仿宋" w:hAnsi="仿宋" w:eastAsia="仿宋" w:cs="仿宋"/>
          <w:color w:val="000000"/>
          <w:sz w:val="28"/>
          <w:highlight w:val="none"/>
        </w:rPr>
        <w:t xml:space="preserve">淮安市博物馆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w:t>
      </w:r>
      <w:r>
        <w:rPr>
          <w:rFonts w:ascii="仿宋" w:hAnsi="仿宋" w:eastAsia="仿宋" w:cs="仿宋"/>
          <w:color w:val="000000"/>
          <w:sz w:val="28"/>
          <w:highlight w:val="none"/>
        </w:rPr>
        <w:t xml:space="preserve">淮安市健康西路146-1号</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ascii="仿宋" w:hAnsi="仿宋" w:eastAsia="仿宋" w:cs="仿宋"/>
          <w:color w:val="000000"/>
          <w:sz w:val="28"/>
          <w:highlight w:val="none"/>
        </w:rPr>
        <w:t xml:space="preserve">谢伟  13651543768</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cs="仿宋"/>
          <w:color w:val="000000"/>
          <w:sz w:val="28"/>
          <w:highlight w:val="none"/>
        </w:rPr>
        <w:outlineLvl w:val="9"/>
      </w:pPr>
      <w:r>
        <w:rPr>
          <w:rFonts w:hint="eastAsia" w:ascii="仿宋" w:hAnsi="仿宋" w:eastAsia="仿宋"/>
          <w:sz w:val="28"/>
          <w:szCs w:val="28"/>
        </w:rPr>
        <w:t xml:space="preserve">联系方式:</w:t>
      </w:r>
      <w:r>
        <w:rPr>
          <w:rFonts w:ascii="仿宋" w:hAnsi="仿宋" w:eastAsia="仿宋" w:cs="仿宋"/>
          <w:color w:val="000000"/>
          <w:sz w:val="28"/>
          <w:highlight w:val="none"/>
        </w:rPr>
        <w:t xml:space="preserve">席雨渲    0517-80996050</w:t>
      </w:r>
      <w:r>
        <w:rPr>
          <w:rFonts w:ascii="仿宋" w:hAnsi="仿宋" w:eastAsia="仿宋" w:cs="仿宋"/>
          <w:color w:val="000000"/>
          <w:sz w:val="28"/>
          <w:highlight w:val="none"/>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3"/>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3"/>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3"/>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Start w:id="0" w:name="_Toc16938530"/>
      <w:r/>
      <w:bookmarkStart w:id="1" w:name="_Toc20823286"/>
      <w:r/>
      <w:bookmarkStart w:id="2" w:name="_Toc513029214"/>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3"/>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3"/>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17.1 本项目评标标准中的方案部分采用明标方式进行评审。</w:t>
      </w:r>
      <w:r>
        <w:rPr>
          <w:color w:val="000000"/>
          <w:highlight w:val="none"/>
        </w:rPr>
      </w:r>
      <w:r/>
    </w:p>
    <w:p>
      <w:pPr>
        <w:pStyle w:val="893"/>
        <w:ind w:left="0" w:right="0" w:firstLine="560"/>
        <w:jc w:val="both"/>
        <w:spacing w:before="0" w:after="0"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17.2 方案部分采用明标方式进行评审的编制要求。</w:t>
      </w:r>
      <w:r>
        <w:rPr>
          <w:rFonts w:ascii="仿宋" w:hAnsi="仿宋" w:eastAsia="仿宋" w:cs="仿宋"/>
          <w:color w:val="000000"/>
          <w:sz w:val="28"/>
          <w:highlight w:val="none"/>
        </w:rPr>
      </w:r>
      <w:r/>
    </w:p>
    <w:p>
      <w:pPr>
        <w:pStyle w:val="893"/>
        <w:ind w:left="0" w:right="0" w:firstLine="560"/>
        <w:jc w:val="both"/>
        <w:spacing w:before="0" w:after="0" w:line="519" w:lineRule="atLeast"/>
        <w:rPr>
          <w:rFonts w:hint="eastAsia" w:ascii="仿宋" w:hAnsi="仿宋" w:eastAsia="仿宋"/>
          <w:bCs/>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17.3 供应商应按第17.2的要求编制方案，经三分之二评委认定，供应商未按第17.2的要求编制方案的，按未提供方案处理。</w:t>
      </w:r>
      <w:r>
        <w:rPr>
          <w:rFonts w:hint="eastAsia" w:ascii="仿宋" w:hAnsi="仿宋" w:eastAsia="仿宋"/>
          <w:bCs/>
          <w:sz w:val="28"/>
          <w:szCs w:val="28"/>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3"/>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3"/>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3"/>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9" w:name="_Toc20823303"/>
      <w:r/>
      <w:bookmarkStart w:id="10" w:name="_Toc16938547"/>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bookmarkStart w:id="12" w:name="_Toc16938548"/>
      <w:r/>
      <w:bookmarkStart w:id="13" w:name="_Toc513029232"/>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20823306"/>
      <w:r/>
      <w:bookmarkStart w:id="20" w:name="_Toc513029234"/>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w:t>
      </w:r>
      <w:r>
        <w:rPr>
          <w:rFonts w:hint="eastAsia" w:ascii="仿宋" w:hAnsi="仿宋" w:eastAsia="仿宋"/>
          <w:sz w:val="28"/>
          <w:szCs w:val="28"/>
          <w:highlight w:val="none"/>
        </w:rPr>
        <w:t xml:space="preserve">其中的核心产品（</w:t>
      </w:r>
      <w:r>
        <w:rPr>
          <w:rFonts w:ascii="仿宋" w:hAnsi="仿宋" w:eastAsia="仿宋" w:cs="仿宋"/>
          <w:color w:val="000000"/>
          <w:sz w:val="28"/>
          <w:highlight w:val="none"/>
        </w:rPr>
        <w:t xml:space="preserve">机房无齿轮乘客电梯</w:t>
      </w:r>
      <w:r>
        <w:rPr>
          <w:rFonts w:hint="eastAsia"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89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21" w:name="_Toc513029235"/>
      <w:r/>
      <w:bookmarkStart w:id="22" w:name="_Toc16938551"/>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hint="eastAsia" w:ascii="仿宋" w:hAnsi="仿宋" w:eastAsia="仿宋"/>
          <w:sz w:val="28"/>
          <w:szCs w:val="28"/>
        </w:rPr>
      </w:r>
      <w:r/>
    </w:p>
    <w:p>
      <w:pPr>
        <w:pStyle w:val="893"/>
        <w:ind w:firstLine="560"/>
        <w:keepLines w:val="0"/>
        <w:keepNext w:val="0"/>
        <w:pageBreakBefore w:val="0"/>
        <w:spacing w:line="520" w:lineRule="exact"/>
        <w:tabs>
          <w:tab w:val="left" w:pos="744" w:leader="none"/>
        </w:tabs>
        <w:rPr>
          <w:rFonts w:hint="eastAsia" w:ascii="仿宋" w:hAnsi="仿宋" w:eastAsia="仿宋"/>
          <w:sz w:val="28"/>
          <w:szCs w:val="28"/>
          <w:lang w:eastAsia="zh-CN"/>
        </w:rPr>
        <w:outlineLvl w:val="9"/>
      </w:pPr>
      <w:r>
        <w:rPr>
          <w:rFonts w:hint="eastAsia" w:ascii="仿宋" w:hAnsi="仿宋" w:eastAsia="仿宋"/>
          <w:sz w:val="28"/>
          <w:szCs w:val="28"/>
          <w:lang w:eastAsia="zh-CN"/>
        </w:rPr>
        <w:tab/>
      </w:r>
      <w:r>
        <w:rPr>
          <w:rFonts w:hint="eastAsia" w:ascii="仿宋" w:hAnsi="仿宋" w:eastAsia="仿宋"/>
          <w:sz w:val="28"/>
          <w:szCs w:val="28"/>
          <w:lang w:eastAsia="zh-CN"/>
        </w:rPr>
        <w:t xml:space="preserve">26.1.14 未完全满足招标文件第五章“一、采购项目清单及参数要求”中“★”参数的。</w:t>
      </w:r>
      <w:r>
        <w:rPr>
          <w:rFonts w:hint="eastAsia" w:ascii="仿宋" w:hAnsi="仿宋" w:eastAsia="仿宋"/>
          <w:sz w:val="28"/>
          <w:szCs w:val="28"/>
          <w:lang w:eastAsia="zh-CN"/>
        </w:rPr>
      </w:r>
      <w:r/>
    </w:p>
    <w:p>
      <w:pPr>
        <w:pStyle w:val="893"/>
        <w:ind w:firstLine="560"/>
        <w:keepLines w:val="0"/>
        <w:keepNext w:val="0"/>
        <w:pageBreakBefore w:val="0"/>
        <w:spacing w:line="520" w:lineRule="exact"/>
        <w:tabs>
          <w:tab w:val="left" w:pos="744" w:leader="none"/>
        </w:tabs>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26.1.15 未按照招标文件第五章“一、采购项目清单及参数要求”中“★”要求提供相关证明材料的。</w:t>
      </w:r>
      <w:r>
        <w:rPr>
          <w:rFonts w:hint="eastAsia" w:ascii="仿宋" w:hAnsi="仿宋" w:eastAsia="仿宋"/>
          <w:sz w:val="28"/>
          <w:szCs w:val="28"/>
          <w:lang w:eastAsia="zh-CN"/>
        </w:rPr>
      </w:r>
      <w:r/>
    </w:p>
    <w:p>
      <w:pPr>
        <w:pStyle w:val="893"/>
        <w:ind w:firstLine="560"/>
        <w:keepLines w:val="0"/>
        <w:keepNext w:val="0"/>
        <w:pageBreakBefore w:val="0"/>
        <w:spacing w:line="520" w:lineRule="exact"/>
        <w:tabs>
          <w:tab w:val="left" w:pos="744" w:leader="none"/>
        </w:tabs>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26.1.16 未按照招标文件第五章中“★”要求提供承诺函的。</w:t>
      </w:r>
      <w:r>
        <w:rPr>
          <w:rFonts w:hint="eastAsia" w:ascii="仿宋" w:hAnsi="仿宋" w:eastAsia="仿宋"/>
          <w:sz w:val="28"/>
          <w:szCs w:val="28"/>
          <w:lang w:eastAsia="zh-CN"/>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3"/>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3"/>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3"/>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3"/>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3"/>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3"/>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513029236"/>
      <w:r/>
      <w:bookmarkStart w:id="31" w:name="_Toc16938552"/>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3"/>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20823309"/>
      <w:r/>
      <w:bookmarkStart w:id="34" w:name="_Toc513029237"/>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4"/>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914"/>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893"/>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893"/>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893"/>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893"/>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w:t>
      </w:r>
      <w:r>
        <w:rPr>
          <w:rFonts w:hint="eastAsia" w:ascii="仿宋" w:hAnsi="仿宋" w:eastAsia="仿宋"/>
          <w:sz w:val="28"/>
          <w:szCs w:val="28"/>
          <w:highlight w:val="none"/>
        </w:rPr>
        <w:t xml:space="preserve">实施政府优先采购或强制采购。</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w:t>
      </w:r>
      <w:r>
        <w:rPr>
          <w:rFonts w:hint="eastAsia" w:ascii="仿宋" w:hAnsi="仿宋" w:eastAsia="仿宋"/>
          <w:sz w:val="28"/>
          <w:szCs w:val="28"/>
        </w:rPr>
        <w:t xml:space="preserve">志产品品目清单”的，实行优先采购。</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3"/>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3"/>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0"/>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0"/>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0"/>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3"/>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rPr>
          <w:rFonts w:hint="eastAsia" w:ascii="仿宋" w:hAnsi="仿宋" w:eastAsia="仿宋"/>
          <w:sz w:val="28"/>
        </w:rPr>
      </w:r>
      <w:r/>
    </w:p>
    <w:p>
      <w:pPr>
        <w:pStyle w:val="983"/>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83"/>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2、技术部分:</w:t>
      </w:r>
      <w:r>
        <w:rPr>
          <w:rFonts w:hint="eastAsia" w:ascii="仿宋" w:hAnsi="仿宋" w:eastAsia="仿宋"/>
          <w:sz w:val="28"/>
          <w:szCs w:val="28"/>
          <w:lang w:val="en-US" w:eastAsia="zh-CN"/>
        </w:rPr>
        <w:t xml:space="preserve">31</w:t>
      </w:r>
      <w:r>
        <w:rPr>
          <w:rFonts w:hint="eastAsia" w:ascii="仿宋" w:hAnsi="仿宋" w:eastAsia="仿宋"/>
          <w:sz w:val="28"/>
          <w:szCs w:val="28"/>
        </w:rPr>
        <w:t xml:space="preserve">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（1）投标人所投产品技术参数完全满足招标文件第五章“一、采购项目清单及参数要求”中标注“★”技术参数要求，未完全满足作无效投标处理。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（2）主要参数（</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分），加“▲”项参数为主要参数，共8项，共</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分，每有一项负偏离扣1.5分,扣完为止；</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（3）一般性参数（6分），除加 “★”“▲”项外的技术参数为一般技术参数25条，共</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分，每出现一条负偏离扣0.24分，扣完为止。</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主机、控制柜、调速装置、控制装置、限速器、安全钳、缓冲器、层门门锁、轿门门锁、安全电路、上行超速保护装置、可编程电子安全系统、轿厢意外移动保护装置均为原厂原品牌(原厂原品牌为部件制造厂家与电梯整机制造厂家一致)，全部满足的得13分，其中一项不满足的扣1分。（需提供所投产品型号整梯的型式试验报告原件扫描件并加盖投标人公章，不提供不得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18</w:t>
      </w:r>
      <w:r>
        <w:rPr>
          <w:rFonts w:hint="eastAsia" w:ascii="仿宋" w:hAnsi="仿宋" w:eastAsia="仿宋"/>
          <w:sz w:val="28"/>
          <w:szCs w:val="28"/>
        </w:rPr>
        <w:t xml:space="preserve">分</w:t>
      </w:r>
      <w:r>
        <w:rPr>
          <w:rFonts w:hint="eastAsia" w:ascii="仿宋" w:hAnsi="仿宋" w:eastAsia="仿宋"/>
          <w:sz w:val="28"/>
          <w:szCs w:val="28"/>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（1）电梯施工方案：（</w:t>
      </w:r>
      <w:r>
        <w:rPr>
          <w:rFonts w:hint="eastAsia" w:ascii="仿宋" w:hAnsi="仿宋" w:eastAsia="仿宋" w:cs="仿宋"/>
          <w:color w:val="000000"/>
          <w:sz w:val="28"/>
          <w:highlight w:val="none"/>
          <w:lang w:val="en-US" w:eastAsia="zh-CN"/>
        </w:rPr>
        <w:t xml:space="preserve">6</w:t>
      </w:r>
      <w:r>
        <w:rPr>
          <w:rFonts w:ascii="仿宋" w:hAnsi="仿宋" w:eastAsia="仿宋" w:cs="仿宋"/>
          <w:color w:val="000000"/>
          <w:sz w:val="28"/>
          <w:highlight w:val="none"/>
        </w:rPr>
        <w:t xml:space="preserve">分）</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投标人针对本项目提供完整、合理、科学的施工方案，方案内容至少包括：①施工组织计划②旧电梯拆除方案③新电梯安装方案④施工安全、施工质量⑤施工环境管理⑥施工进度计划。</w:t>
      </w:r>
      <w:r>
        <w:rPr>
          <w:color w:val="000000"/>
          <w:highlight w:val="none"/>
        </w:rPr>
      </w:r>
      <w:r/>
    </w:p>
    <w:p>
      <w:pPr>
        <w:pStyle w:val="893"/>
        <w:ind w:left="0" w:right="0" w:firstLine="560"/>
        <w:jc w:val="both"/>
        <w:spacing w:before="0" w:after="0" w:line="519" w:lineRule="atLeast"/>
        <w:rPr>
          <w:rFonts w:hint="eastAsia" w:eastAsia="仿宋"/>
          <w:color w:val="000000"/>
          <w:highlight w:val="red"/>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方案优于项目需求的得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分，完全符合项目需求的得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分，基本符合项目需求的得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分，略次于项目需求但是能达到使用要求的得</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w:t>
      </w:r>
      <w:r>
        <w:rPr>
          <w:rFonts w:hint="eastAsia" w:eastAsia="仿宋"/>
          <w:color w:val="000000"/>
          <w:highlight w:val="red"/>
          <w:lang w:eastAsia="zh-CN"/>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（2）应急方案：（</w:t>
      </w:r>
      <w:r>
        <w:rPr>
          <w:rFonts w:hint="eastAsia" w:ascii="仿宋" w:hAnsi="仿宋" w:eastAsia="仿宋" w:cs="仿宋"/>
          <w:color w:val="000000"/>
          <w:sz w:val="28"/>
          <w:highlight w:val="none"/>
          <w:lang w:val="en-US" w:eastAsia="zh-CN"/>
        </w:rPr>
        <w:t xml:space="preserve">6</w:t>
      </w:r>
      <w:r>
        <w:rPr>
          <w:rFonts w:ascii="仿宋" w:hAnsi="仿宋" w:eastAsia="仿宋" w:cs="仿宋"/>
          <w:color w:val="000000"/>
          <w:sz w:val="28"/>
          <w:highlight w:val="none"/>
        </w:rPr>
        <w:t xml:space="preserve">分）</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投标人针对本项目提供完整、合理的应急预案，预案内容至少包含以下模块：①沟通平台建设②应急预案流程③安全保障措施④应急响应措施⑤对争议结果的解决方案。</w:t>
      </w:r>
      <w:r>
        <w:rPr>
          <w:color w:val="000000"/>
          <w:highlight w:val="none"/>
        </w:rPr>
      </w:r>
      <w:r/>
    </w:p>
    <w:p>
      <w:pPr>
        <w:pStyle w:val="893"/>
        <w:ind w:left="0" w:right="0" w:firstLine="560"/>
        <w:jc w:val="both"/>
        <w:spacing w:before="0" w:after="0" w:line="519" w:lineRule="atLeast"/>
        <w:rPr>
          <w:rFonts w:hint="eastAsia" w:ascii="仿宋" w:hAnsi="仿宋" w:eastAsia="仿宋" w:cs="仿宋"/>
          <w:color w:val="000000"/>
          <w:sz w:val="28"/>
          <w:highlight w:val="red"/>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方案优于项目需求的得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分，完全符合项目需求的得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分，基本符合项目需求的得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分，略次于项目需求但是能达到使用要求的得</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w:t>
      </w:r>
      <w:r>
        <w:rPr>
          <w:rFonts w:hint="eastAsia" w:ascii="仿宋" w:hAnsi="仿宋" w:eastAsia="仿宋" w:cs="仿宋"/>
          <w:color w:val="000000"/>
          <w:sz w:val="28"/>
          <w:highlight w:val="red"/>
          <w:lang w:val="en-US" w:eastAsia="zh-CN"/>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（3）售后服务方案：（</w:t>
      </w:r>
      <w:r>
        <w:rPr>
          <w:rFonts w:hint="eastAsia" w:ascii="仿宋" w:hAnsi="仿宋" w:eastAsia="仿宋" w:cs="仿宋"/>
          <w:color w:val="000000"/>
          <w:sz w:val="28"/>
          <w:highlight w:val="none"/>
          <w:lang w:val="en-US" w:eastAsia="zh-CN"/>
        </w:rPr>
        <w:t xml:space="preserve">6</w:t>
      </w:r>
      <w:r>
        <w:rPr>
          <w:rFonts w:ascii="仿宋" w:hAnsi="仿宋" w:eastAsia="仿宋" w:cs="仿宋"/>
          <w:color w:val="000000"/>
          <w:sz w:val="28"/>
          <w:highlight w:val="none"/>
        </w:rPr>
        <w:t xml:space="preserve">分）</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投标人针对本项目提供完整、合理的售后服务方案，售后服务方案内容至少包含以下模块：①售后服务机构地点及人员配置；②售后服务响应时间及方式；③质保内容；④对使用方人员的培训计划。</w:t>
      </w:r>
      <w:r>
        <w:rPr>
          <w:color w:val="000000"/>
          <w:highlight w:val="none"/>
        </w:rPr>
      </w:r>
      <w:r/>
    </w:p>
    <w:p>
      <w:pPr>
        <w:pStyle w:val="893"/>
        <w:ind w:left="0" w:right="0" w:firstLine="560"/>
        <w:jc w:val="both"/>
        <w:spacing w:before="0" w:after="0" w:line="519" w:lineRule="atLeast"/>
        <w:rPr>
          <w:rFonts w:hint="eastAsia" w:ascii="仿宋" w:hAnsi="仿宋" w:eastAsia="仿宋" w:cs="仿宋"/>
          <w:color w:val="000000"/>
          <w:sz w:val="28"/>
          <w:highlight w:val="red"/>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方案优于项目需求的得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分，完全符合项目需求的得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分，基本符合项目需求的得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分，略次于项目需求但是能达到使用要求的得</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w:t>
      </w:r>
      <w:r>
        <w:rPr>
          <w:rFonts w:hint="eastAsia" w:ascii="仿宋" w:hAnsi="仿宋" w:eastAsia="仿宋"/>
          <w:sz w:val="28"/>
          <w:szCs w:val="28"/>
          <w:lang w:eastAsia="zh-CN"/>
        </w:rPr>
        <w:t xml:space="preserve">。</w:t>
      </w:r>
      <w:r>
        <w:rPr>
          <w:rFonts w:hint="eastAsia" w:ascii="仿宋" w:hAnsi="仿宋" w:eastAsia="仿宋" w:cs="仿宋"/>
          <w:color w:val="000000"/>
          <w:sz w:val="28"/>
          <w:highlight w:val="red"/>
          <w:lang w:val="en-US" w:eastAsia="zh-CN"/>
        </w:rPr>
      </w:r>
      <w:r/>
    </w:p>
    <w:p>
      <w:pPr>
        <w:pStyle w:val="893"/>
        <w:ind w:left="0" w:right="0" w:firstLine="560"/>
        <w:jc w:val="both"/>
        <w:spacing w:before="0" w:after="0" w:line="519" w:lineRule="atLeast"/>
        <w:rPr>
          <w:rFonts w:eastAsia="仿宋"/>
          <w:color w:val="000000"/>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4、商务部分:1</w:t>
      </w:r>
      <w:r>
        <w:rPr>
          <w:rFonts w:hint="eastAsia" w:ascii="仿宋" w:hAnsi="仿宋" w:eastAsia="仿宋" w:cs="仿宋"/>
          <w:color w:val="000000"/>
          <w:sz w:val="28"/>
          <w:highlight w:val="none"/>
          <w:lang w:val="en-US" w:eastAsia="zh-CN"/>
        </w:rPr>
        <w:t xml:space="preserve">9</w:t>
      </w:r>
      <w:r>
        <w:rPr>
          <w:rFonts w:ascii="仿宋" w:hAnsi="仿宋" w:eastAsia="仿宋" w:cs="仿宋"/>
          <w:color w:val="000000"/>
          <w:sz w:val="28"/>
          <w:highlight w:val="none"/>
        </w:rPr>
        <w:t xml:space="preserve">分</w:t>
      </w:r>
      <w:r>
        <w:rPr>
          <w:rFonts w:eastAsia="仿宋"/>
          <w:color w:val="000000"/>
          <w:highlight w:val="none"/>
          <w:lang w:val="en-US" w:eastAsia="zh-CN"/>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投标人具有有效期内的ISO9001质量管理体系认证、ISO14001环境管理体系认证、ISO45001职业健康安全管理体系认证、能源管理体系认证证书的，每个证书得2分，本项最高得8分，没有不得分。（提供证书扫描件加盖投标单位电子签章，未提供不得分）。</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（2）投标人自2022年1月起至今，承担过与所投电梯品牌一致的类似业绩的，每提供一份业绩得</w:t>
      </w:r>
      <w:r>
        <w:rPr>
          <w:rFonts w:hint="eastAsia" w:ascii="仿宋" w:hAnsi="仿宋" w:eastAsia="仿宋" w:cs="仿宋"/>
          <w:color w:val="000000"/>
          <w:sz w:val="28"/>
          <w:highlight w:val="none"/>
          <w:lang w:val="en-US" w:eastAsia="zh-CN"/>
        </w:rPr>
        <w:t xml:space="preserve">3</w:t>
      </w:r>
      <w:r>
        <w:rPr>
          <w:rFonts w:ascii="仿宋" w:hAnsi="仿宋" w:eastAsia="仿宋" w:cs="仿宋"/>
          <w:color w:val="000000"/>
          <w:sz w:val="28"/>
          <w:highlight w:val="none"/>
        </w:rPr>
        <w:t xml:space="preserve">分，本项最高得</w:t>
      </w:r>
      <w:r>
        <w:rPr>
          <w:rFonts w:hint="eastAsia" w:ascii="仿宋" w:hAnsi="仿宋" w:eastAsia="仿宋" w:cs="仿宋"/>
          <w:color w:val="000000"/>
          <w:sz w:val="28"/>
          <w:highlight w:val="none"/>
          <w:lang w:val="en-US" w:eastAsia="zh-CN"/>
        </w:rPr>
        <w:t xml:space="preserve">6</w:t>
      </w:r>
      <w:r>
        <w:rPr>
          <w:rFonts w:ascii="仿宋" w:hAnsi="仿宋" w:eastAsia="仿宋" w:cs="仿宋"/>
          <w:color w:val="000000"/>
          <w:sz w:val="28"/>
          <w:highlight w:val="none"/>
        </w:rPr>
        <w:t xml:space="preserve">分，没有不得分。（提供业绩合同扫描件</w:t>
      </w:r>
      <w:r>
        <w:rPr>
          <w:rFonts w:hint="eastAsia" w:ascii="仿宋" w:hAnsi="仿宋" w:eastAsia="仿宋" w:cs="仿宋"/>
          <w:color w:val="000000"/>
          <w:sz w:val="28"/>
          <w:highlight w:val="none"/>
          <w:lang w:eastAsia="zh-CN"/>
        </w:rPr>
        <w:t xml:space="preserve">，</w:t>
      </w:r>
      <w:r>
        <w:rPr>
          <w:rFonts w:ascii="仿宋" w:hAnsi="仿宋" w:eastAsia="仿宋" w:cs="仿宋"/>
          <w:color w:val="000000"/>
          <w:sz w:val="28"/>
          <w:highlight w:val="none"/>
        </w:rPr>
        <w:t xml:space="preserve">以合同签订日期为准，</w:t>
      </w:r>
      <w:r>
        <w:rPr>
          <w:rFonts w:hint="eastAsia" w:ascii="仿宋" w:hAnsi="仿宋" w:eastAsia="仿宋" w:cs="仿宋"/>
          <w:color w:val="000000"/>
          <w:sz w:val="28"/>
          <w:highlight w:val="none"/>
          <w:lang w:eastAsia="zh-CN"/>
        </w:rPr>
        <w:t xml:space="preserve">电梯监督检验报告，</w:t>
      </w:r>
      <w:r>
        <w:rPr>
          <w:rFonts w:hint="eastAsia" w:ascii="仿宋" w:hAnsi="仿宋" w:eastAsia="仿宋" w:cs="仿宋"/>
          <w:color w:val="000000"/>
          <w:sz w:val="28"/>
          <w:highlight w:val="none"/>
          <w:lang w:val="en-US" w:eastAsia="zh-CN"/>
        </w:rPr>
        <w:t xml:space="preserve">电梯特种设备使用标志，其中电梯</w:t>
      </w:r>
      <w:r>
        <w:rPr>
          <w:rFonts w:hint="eastAsia" w:ascii="仿宋" w:hAnsi="仿宋" w:eastAsia="仿宋" w:cs="仿宋"/>
          <w:color w:val="000000"/>
          <w:sz w:val="28"/>
          <w:highlight w:val="none"/>
          <w:lang w:eastAsia="zh-CN"/>
        </w:rPr>
        <w:t xml:space="preserve">销售安装</w:t>
      </w:r>
      <w:r>
        <w:rPr>
          <w:rFonts w:hint="eastAsia" w:ascii="仿宋" w:hAnsi="仿宋" w:eastAsia="仿宋" w:cs="仿宋"/>
          <w:color w:val="000000"/>
          <w:sz w:val="28"/>
          <w:highlight w:val="none"/>
          <w:lang w:val="en-US" w:eastAsia="zh-CN"/>
        </w:rPr>
        <w:t xml:space="preserve">合同主体</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lang w:val="en-US" w:eastAsia="zh-CN"/>
        </w:rPr>
        <w:t xml:space="preserve">电梯特种设备使用标志上的维保</w:t>
      </w:r>
      <w:r>
        <w:rPr>
          <w:rFonts w:hint="eastAsia" w:ascii="仿宋" w:hAnsi="仿宋" w:eastAsia="仿宋" w:cs="仿宋"/>
          <w:color w:val="000000"/>
          <w:sz w:val="28"/>
          <w:highlight w:val="none"/>
          <w:lang w:eastAsia="zh-CN"/>
        </w:rPr>
        <w:t xml:space="preserve">单位</w:t>
      </w:r>
      <w:r>
        <w:rPr>
          <w:rFonts w:hint="eastAsia" w:ascii="仿宋" w:hAnsi="仿宋" w:eastAsia="仿宋" w:cs="仿宋"/>
          <w:color w:val="000000"/>
          <w:sz w:val="28"/>
          <w:highlight w:val="none"/>
          <w:lang w:val="en-US" w:eastAsia="zh-CN"/>
        </w:rPr>
        <w:t xml:space="preserve">均需</w:t>
      </w:r>
      <w:r>
        <w:rPr>
          <w:rFonts w:hint="eastAsia" w:ascii="仿宋" w:hAnsi="仿宋" w:eastAsia="仿宋" w:cs="仿宋"/>
          <w:color w:val="000000"/>
          <w:sz w:val="28"/>
          <w:highlight w:val="none"/>
          <w:lang w:eastAsia="zh-CN"/>
        </w:rPr>
        <w:t xml:space="preserve">与投标人营业执照名称一致，</w:t>
      </w:r>
      <w:r>
        <w:rPr>
          <w:rFonts w:ascii="仿宋" w:hAnsi="仿宋" w:eastAsia="仿宋" w:cs="仿宋"/>
          <w:color w:val="000000"/>
          <w:sz w:val="28"/>
          <w:highlight w:val="none"/>
        </w:rPr>
        <w:t xml:space="preserve">加盖投标单位电子签章，未提供不得分。）</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投标人或所投电梯制造商拥有中国合格评定国家认可委员会CNAS实验室认可证书的得5分，没有不得分。（提供证书扫描件加盖投标人电子签章，未提供不得分。证书标注的制造商名称与本次所投电梯制造商营业执照上名称必须一致）</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5、售后服务:</w:t>
      </w:r>
      <w:r>
        <w:rPr>
          <w:rFonts w:hint="eastAsia" w:ascii="仿宋" w:hAnsi="仿宋" w:eastAsia="仿宋" w:cs="仿宋"/>
          <w:color w:val="000000"/>
          <w:sz w:val="28"/>
          <w:highlight w:val="none"/>
          <w:lang w:val="en-US" w:eastAsia="zh-CN"/>
        </w:rPr>
        <w:t xml:space="preserve">2</w:t>
      </w:r>
      <w:r>
        <w:rPr>
          <w:rFonts w:ascii="仿宋" w:hAnsi="仿宋" w:eastAsia="仿宋" w:cs="仿宋"/>
          <w:color w:val="000000"/>
          <w:sz w:val="28"/>
          <w:highlight w:val="none"/>
        </w:rPr>
        <w:t xml:space="preserve">分</w:t>
      </w:r>
      <w:r>
        <w:rPr>
          <w:color w:val="000000"/>
          <w:highlight w:val="none"/>
        </w:rPr>
      </w:r>
      <w:r/>
    </w:p>
    <w:p>
      <w:pPr>
        <w:pStyle w:val="893"/>
        <w:ind w:left="0" w:right="0" w:firstLine="560"/>
        <w:jc w:val="both"/>
        <w:spacing w:before="0" w:after="0"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投标人承诺所投产品的质保期在符合招标文件规定的免费质保期限（</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年）的基础上，每增加1年整机及所有零部件免费质保及上门维修服务的得1分，本项最</w:t>
      </w:r>
      <w:r>
        <w:rPr>
          <w:rFonts w:hint="eastAsia" w:ascii="仿宋" w:hAnsi="仿宋" w:eastAsia="仿宋"/>
          <w:color w:val="000000"/>
          <w:sz w:val="28"/>
          <w:szCs w:val="28"/>
          <w:lang w:val="en-US" w:eastAsia="zh-CN"/>
        </w:rPr>
        <w:t xml:space="preserve">高</w:t>
      </w:r>
      <w:r>
        <w:rPr>
          <w:rFonts w:hint="eastAsia" w:ascii="仿宋" w:hAnsi="仿宋" w:eastAsia="仿宋"/>
          <w:color w:val="000000"/>
          <w:sz w:val="28"/>
          <w:szCs w:val="28"/>
        </w:rPr>
        <w:t xml:space="preserve">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分，未提供承诺的不得分</w:t>
      </w:r>
      <w:r>
        <w:rPr>
          <w:rFonts w:hint="eastAsia" w:ascii="仿宋" w:hAnsi="仿宋" w:eastAsia="仿宋"/>
          <w:color w:val="000000"/>
          <w:sz w:val="28"/>
          <w:szCs w:val="28"/>
          <w:lang w:eastAsia="zh-CN"/>
        </w:rPr>
        <w:t xml:space="preserve">。（</w:t>
      </w:r>
      <w:r>
        <w:rPr>
          <w:rFonts w:hint="eastAsia" w:ascii="仿宋" w:hAnsi="仿宋" w:eastAsia="仿宋" w:cs="Times New Roman"/>
          <w:caps w:val="0"/>
          <w:color w:val="000000"/>
          <w:spacing w:val="0"/>
          <w:sz w:val="28"/>
          <w:szCs w:val="28"/>
          <w:shd w:val="clear" w:color="auto" w:fill="auto"/>
        </w:rPr>
        <w:t xml:space="preserve">提</w:t>
      </w:r>
      <w:r>
        <w:rPr>
          <w:rFonts w:hint="eastAsia" w:ascii="仿宋" w:hAnsi="仿宋" w:eastAsia="仿宋" w:cs="Times New Roman"/>
          <w:color w:val="000000"/>
          <w:sz w:val="28"/>
          <w:szCs w:val="28"/>
        </w:rPr>
        <w:t xml:space="preserve">供</w:t>
      </w:r>
      <w:r>
        <w:rPr>
          <w:rFonts w:hint="eastAsia" w:ascii="仿宋" w:hAnsi="仿宋" w:eastAsia="仿宋" w:cs="Times New Roman"/>
          <w:color w:val="000000"/>
          <w:sz w:val="28"/>
          <w:szCs w:val="28"/>
          <w:lang w:val="en-US" w:eastAsia="zh-CN"/>
        </w:rPr>
        <w:t xml:space="preserve">承诺书</w:t>
      </w:r>
      <w:r>
        <w:rPr>
          <w:rFonts w:hint="eastAsia" w:ascii="仿宋" w:hAnsi="仿宋" w:eastAsia="仿宋" w:cs="Times New Roman"/>
          <w:color w:val="000000"/>
          <w:sz w:val="28"/>
          <w:szCs w:val="28"/>
        </w:rPr>
        <w:t xml:space="preserve">加盖投标单位电子签章，未提供不得分）</w:t>
      </w:r>
      <w:r>
        <w:rPr>
          <w:rFonts w:ascii="仿宋" w:hAnsi="仿宋" w:eastAsia="仿宋" w:cs="仿宋"/>
          <w:color w:val="000000"/>
          <w:sz w:val="28"/>
          <w:highlight w:val="none"/>
        </w:rPr>
      </w:r>
      <w:r/>
    </w:p>
    <w:p>
      <w:pPr>
        <w:pStyle w:val="893"/>
        <w:ind w:firstLine="560"/>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cs="仿宋"/>
          <w:color w:val="000000"/>
          <w:sz w:val="28"/>
          <w:highlight w:val="none"/>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3"/>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14"/>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4"/>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93"/>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1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14"/>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1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1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14"/>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14"/>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14"/>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1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w:t>
      </w:r>
      <w:r>
        <w:rPr>
          <w:rFonts w:ascii="仿宋" w:hAnsi="仿宋" w:eastAsia="仿宋"/>
          <w:sz w:val="28"/>
          <w:szCs w:val="28"/>
          <w:u w:val="none"/>
        </w:rPr>
        <w:t xml:space="preserve">_________</w:t>
      </w:r>
      <w:r>
        <w:rPr>
          <w:rFonts w:ascii="仿宋" w:hAnsi="仿宋" w:eastAsia="仿宋"/>
          <w:sz w:val="28"/>
          <w:szCs w:val="28"/>
        </w:rPr>
        <w:t xml:space="preserve">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93"/>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93"/>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93"/>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9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1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93"/>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3"/>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93"/>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93"/>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93"/>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93"/>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93"/>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93"/>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93"/>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89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1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93"/>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1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1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9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14"/>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93"/>
        <w:ind w:left="0" w:right="0" w:firstLine="0"/>
        <w:spacing w:before="240" w:after="24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一、采购清单</w:t>
      </w:r>
      <w:r>
        <w:rPr>
          <w:color w:val="000000"/>
          <w:highlight w:val="none"/>
        </w:rPr>
      </w:r>
      <w:r/>
    </w:p>
    <w:tbl>
      <w:tblPr>
        <w:tblStyle w:val="98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5029"/>
        <w:gridCol w:w="2998"/>
      </w:tblGrid>
      <w:tr>
        <w:trPr>
          <w:trHeight w:val="556"/>
        </w:trPr>
        <w:tc>
          <w:tcPr>
            <w:tcMar>
              <w:left w:w="108" w:type="dxa"/>
              <w:top w:w="0" w:type="dxa"/>
              <w:right w:w="108" w:type="dxa"/>
              <w:bottom w:w="0" w:type="dxa"/>
            </w:tcMar>
            <w:tcW w:w="10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序号</w:t>
            </w:r>
            <w:r>
              <w:rPr>
                <w:rFonts w:ascii="Calibri" w:hAnsi="Calibri" w:cs="Calibri"/>
                <w:color w:val="000000"/>
                <w:highlight w:val="none"/>
              </w:rPr>
            </w:r>
            <w:r/>
          </w:p>
        </w:tc>
        <w:tc>
          <w:tcPr>
            <w:tcMar>
              <w:left w:w="108" w:type="dxa"/>
              <w:top w:w="0" w:type="dxa"/>
              <w:right w:w="108" w:type="dxa"/>
              <w:bottom w:w="0" w:type="dxa"/>
            </w:tcMar>
            <w:tcW w:w="5224" w:type="dxa"/>
            <w:vAlign w:val="center"/>
            <w:textDirection w:val="lrTb"/>
            <w:noWrap w:val="false"/>
          </w:tcPr>
          <w:p>
            <w:pPr>
              <w:pStyle w:val="893"/>
              <w:ind w:left="0" w:right="0" w:firstLine="425"/>
              <w:jc w:val="center"/>
              <w:keepLines w:val="0"/>
              <w:keepNext w:val="0"/>
              <w:spacing w:before="0" w:beforeAutospacing="0" w:after="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产品名称</w:t>
            </w:r>
            <w:r>
              <w:rPr>
                <w:rFonts w:ascii="Calibri" w:hAnsi="Calibri" w:cs="Calibri"/>
                <w:color w:val="000000"/>
                <w:highlight w:val="none"/>
              </w:rPr>
            </w:r>
            <w:r/>
          </w:p>
        </w:tc>
        <w:tc>
          <w:tcPr>
            <w:tcMar>
              <w:left w:w="108" w:type="dxa"/>
              <w:top w:w="0" w:type="dxa"/>
              <w:right w:w="108" w:type="dxa"/>
              <w:bottom w:w="0" w:type="dxa"/>
            </w:tcMar>
            <w:tcW w:w="311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数量</w:t>
            </w:r>
            <w:r>
              <w:rPr>
                <w:rFonts w:ascii="Calibri" w:hAnsi="Calibri" w:cs="Calibri"/>
                <w:color w:val="000000"/>
                <w:highlight w:val="none"/>
              </w:rPr>
            </w:r>
            <w:r/>
          </w:p>
        </w:tc>
      </w:tr>
      <w:tr>
        <w:trPr>
          <w:trHeight w:val="576"/>
        </w:trPr>
        <w:tc>
          <w:tcPr>
            <w:tcMar>
              <w:left w:w="108" w:type="dxa"/>
              <w:top w:w="0" w:type="dxa"/>
              <w:right w:w="108" w:type="dxa"/>
              <w:bottom w:w="0" w:type="dxa"/>
            </w:tcMar>
            <w:tcW w:w="1012" w:type="dxa"/>
            <w:vAlign w:val="center"/>
            <w:textDirection w:val="lrTb"/>
            <w:noWrap w:val="false"/>
          </w:tcPr>
          <w:p>
            <w:pPr>
              <w:pStyle w:val="893"/>
              <w:ind w:left="0" w:right="0" w:firstLine="0"/>
              <w:jc w:val="center"/>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w:t>
            </w:r>
            <w:r>
              <w:rPr>
                <w:rFonts w:ascii="Calibri" w:hAnsi="Calibri" w:cs="Calibri"/>
                <w:color w:val="000000"/>
                <w:highlight w:val="none"/>
              </w:rPr>
            </w:r>
            <w:r/>
          </w:p>
        </w:tc>
        <w:tc>
          <w:tcPr>
            <w:tcMar>
              <w:left w:w="108" w:type="dxa"/>
              <w:top w:w="0" w:type="dxa"/>
              <w:right w:w="108" w:type="dxa"/>
              <w:bottom w:w="0" w:type="dxa"/>
            </w:tcMar>
            <w:tcW w:w="5224" w:type="dxa"/>
            <w:vAlign w:val="center"/>
            <w:textDirection w:val="lrTb"/>
            <w:noWrap w:val="false"/>
          </w:tcPr>
          <w:p>
            <w:pPr>
              <w:pStyle w:val="893"/>
              <w:ind w:left="0" w:right="0" w:firstLine="0"/>
              <w:jc w:val="center"/>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无机房无齿轮乘客电梯</w:t>
            </w:r>
            <w:r>
              <w:rPr>
                <w:rFonts w:ascii="Calibri" w:hAnsi="Calibri" w:cs="Calibri"/>
                <w:color w:val="000000"/>
                <w:highlight w:val="none"/>
              </w:rPr>
            </w:r>
            <w:r/>
          </w:p>
        </w:tc>
        <w:tc>
          <w:tcPr>
            <w:tcMar>
              <w:left w:w="108" w:type="dxa"/>
              <w:top w:w="0" w:type="dxa"/>
              <w:right w:w="108" w:type="dxa"/>
              <w:bottom w:w="0" w:type="dxa"/>
            </w:tcMar>
            <w:tcW w:w="3118" w:type="dxa"/>
            <w:vAlign w:val="center"/>
            <w:textDirection w:val="lrTb"/>
            <w:noWrap w:val="false"/>
          </w:tcPr>
          <w:p>
            <w:pPr>
              <w:pStyle w:val="893"/>
              <w:ind w:left="0" w:right="0" w:firstLine="0"/>
              <w:jc w:val="center"/>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2套</w:t>
            </w:r>
            <w:r>
              <w:rPr>
                <w:rFonts w:ascii="Calibri" w:hAnsi="Calibri" w:cs="Calibri"/>
                <w:color w:val="000000"/>
                <w:highlight w:val="none"/>
              </w:rPr>
            </w:r>
            <w:r/>
          </w:p>
        </w:tc>
      </w:tr>
      <w:tr>
        <w:trPr>
          <w:trHeight w:val="576"/>
        </w:trPr>
        <w:tc>
          <w:tcPr>
            <w:tcMar>
              <w:left w:w="108" w:type="dxa"/>
              <w:top w:w="0" w:type="dxa"/>
              <w:right w:w="108" w:type="dxa"/>
              <w:bottom w:w="0" w:type="dxa"/>
            </w:tcMar>
            <w:tcW w:w="1012" w:type="dxa"/>
            <w:vAlign w:val="center"/>
            <w:textDirection w:val="lrTb"/>
            <w:noWrap w:val="false"/>
          </w:tcPr>
          <w:p>
            <w:pPr>
              <w:pStyle w:val="893"/>
              <w:ind w:left="0" w:right="0" w:firstLine="0"/>
              <w:jc w:val="center"/>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w:t>
            </w:r>
            <w:r>
              <w:rPr>
                <w:rFonts w:ascii="Calibri" w:hAnsi="Calibri" w:cs="Calibri"/>
                <w:color w:val="000000"/>
                <w:highlight w:val="none"/>
              </w:rPr>
            </w:r>
            <w:r/>
          </w:p>
        </w:tc>
        <w:tc>
          <w:tcPr>
            <w:tcMar>
              <w:left w:w="108" w:type="dxa"/>
              <w:top w:w="0" w:type="dxa"/>
              <w:right w:w="108" w:type="dxa"/>
              <w:bottom w:w="0" w:type="dxa"/>
            </w:tcMar>
            <w:tcW w:w="5224" w:type="dxa"/>
            <w:vAlign w:val="center"/>
            <w:textDirection w:val="lrTb"/>
            <w:noWrap w:val="false"/>
          </w:tcPr>
          <w:p>
            <w:pPr>
              <w:pStyle w:val="893"/>
              <w:ind w:left="0" w:right="0" w:firstLine="0"/>
              <w:jc w:val="center"/>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无机房无齿轮乘客电梯 (IC卡)</w:t>
            </w:r>
            <w:r>
              <w:rPr>
                <w:rFonts w:ascii="Calibri" w:hAnsi="Calibri" w:cs="Calibri"/>
                <w:color w:val="000000"/>
                <w:highlight w:val="none"/>
              </w:rPr>
            </w:r>
            <w:r/>
          </w:p>
        </w:tc>
        <w:tc>
          <w:tcPr>
            <w:tcMar>
              <w:left w:w="108" w:type="dxa"/>
              <w:top w:w="0" w:type="dxa"/>
              <w:right w:w="108" w:type="dxa"/>
              <w:bottom w:w="0" w:type="dxa"/>
            </w:tcMar>
            <w:tcW w:w="3118" w:type="dxa"/>
            <w:vAlign w:val="center"/>
            <w:textDirection w:val="lrTb"/>
            <w:noWrap w:val="false"/>
          </w:tcPr>
          <w:p>
            <w:pPr>
              <w:pStyle w:val="893"/>
              <w:ind w:left="0" w:right="0" w:firstLine="0"/>
              <w:jc w:val="center"/>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1套</w:t>
            </w:r>
            <w:r>
              <w:rPr>
                <w:rFonts w:ascii="Calibri" w:hAnsi="Calibri" w:cs="Calibri"/>
                <w:color w:val="000000"/>
                <w:highlight w:val="none"/>
              </w:rPr>
            </w:r>
            <w:r/>
          </w:p>
        </w:tc>
      </w:tr>
    </w:tbl>
    <w:p>
      <w:pPr>
        <w:pStyle w:val="893"/>
        <w:ind w:left="0" w:right="0" w:firstLine="0"/>
        <w:jc w:val="both"/>
        <w:spacing w:before="240" w:after="24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1、无机房无齿轮乘客电梯，三台电梯均需满足以下技术参数：</w:t>
      </w:r>
      <w:r>
        <w:rPr>
          <w:color w:val="000000"/>
          <w:highlight w:val="none"/>
        </w:rPr>
      </w:r>
      <w:r/>
    </w:p>
    <w:tbl>
      <w:tblPr>
        <w:tblStyle w:val="98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1747"/>
        <w:gridCol w:w="6144"/>
      </w:tblGrid>
      <w:tr>
        <w:trPr>
          <w:trHeight w:val="340"/>
        </w:trPr>
        <w:tc>
          <w:tcPr>
            <w:tcMar>
              <w:left w:w="108" w:type="dxa"/>
              <w:top w:w="0" w:type="dxa"/>
              <w:right w:w="108" w:type="dxa"/>
              <w:bottom w:w="0" w:type="dxa"/>
            </w:tcMar>
            <w:tcW w:w="1124" w:type="dxa"/>
            <w:vAlign w:val="center"/>
            <w:textDirection w:val="lrTb"/>
            <w:noWrap w:val="false"/>
          </w:tcPr>
          <w:p>
            <w:pPr>
              <w:pStyle w:val="893"/>
              <w:ind w:left="-40" w:right="-34"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序号</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40" w:right="-34"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功能名称</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40" w:right="-34"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功能说明</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40" w:right="-34"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40" w:right="-34"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额定载重</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≧1000kg</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40" w:right="-34"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40" w:right="-34"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速度(m/s)</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tabs>
                <w:tab w:val="left" w:pos="252"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≧1.0m/s</w:t>
            </w:r>
            <w:r>
              <w:rPr>
                <w:rFonts w:ascii="Calibri" w:hAnsi="Calibri" w:cs="Calibri"/>
                <w:color w:val="000000"/>
                <w:highlight w:val="none"/>
              </w:rPr>
            </w:r>
            <w:r/>
          </w:p>
        </w:tc>
      </w:tr>
      <w:tr>
        <w:trPr>
          <w:trHeight w:val="135"/>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停 站 数</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1、4/4/4 两台</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2、5/5/5一台    </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基    站</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1层</w:t>
            </w:r>
            <w:r>
              <w:rPr>
                <w:rFonts w:ascii="Calibri" w:hAnsi="Calibri" w:cs="Calibri"/>
                <w:color w:val="000000"/>
                <w:highlight w:val="none"/>
              </w:rPr>
            </w:r>
            <w:r/>
          </w:p>
        </w:tc>
      </w:tr>
      <w:tr>
        <w:trPr>
          <w:trHeight w:val="9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5</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    源</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1、动力电源(±10%):三相五线制，交流380V、50Hz；</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2、照明电源:单相交流220V、50Hz。</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6</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控制系统</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微机全数字化</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7</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拖动系统</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1、提升高度（以投标人自行勘察现场数据为准）</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2、单双通：单通 </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3、曳引机：交流永磁同步无齿轮曳引机 </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4、控制方式：并联 </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5、操作系统：全电脑全集选方式 </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6、控制系统：模块化电脑软件控制系统，串行传输通讯网络系统 </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7、拖动系统：交流变频变压无级调速无齿拖动系统 </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8、门机：变压变频调速电脑控制交流驱动（无连杆）</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9、曳引机位置：井道顶部</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8</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开门方式</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自动中分门（轿厢内外门采用发纹不锈钢）</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9</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门 类 型</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★VVVF永磁门机</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10</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门 保 护</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仿宋" w:hAnsi="仿宋" w:eastAsia="仿宋" w:cs="仿宋"/>
                <w:b/>
                <w:color w:val="000000"/>
                <w:sz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★门光幕电器防护必须为原厂原品牌且防护等级≧IP65、光幕束数量≧190束</w:t>
            </w:r>
            <w:r>
              <w:rPr>
                <w:rFonts w:ascii="仿宋" w:hAnsi="仿宋" w:eastAsia="仿宋" w:cs="仿宋"/>
                <w:b/>
                <w:color w:val="000000"/>
                <w:sz w:val="28"/>
                <w:highlight w:val="none"/>
              </w:rPr>
              <w:t xml:space="preserve">（提供具有 CMA认证或CNAS 认证的第三方检测机构出具的检测报告扫描件加盖投标单位电子签章，不提供作无效响应处理）</w:t>
            </w:r>
            <w:r>
              <w:rPr>
                <w:rFonts w:ascii="仿宋" w:hAnsi="仿宋" w:eastAsia="仿宋" w:cs="仿宋"/>
                <w:b/>
                <w:color w:val="000000"/>
                <w:sz w:val="28"/>
                <w:highlight w:val="none"/>
                <w:lang w:val="en-US" w:eastAsia="zh-CN"/>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11</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平层精度</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★不大于：±5mm </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12</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轿厢及装潢</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（包括但</w:t>
            </w:r>
            <w:r>
              <w:rPr>
                <w:rFonts w:ascii="Calibri" w:hAnsi="Calibri" w:cs="Calibri"/>
                <w:color w:val="000000"/>
                <w:highlight w:val="none"/>
              </w:rPr>
            </w:r>
            <w:r/>
          </w:p>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不限于）</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★1、轿厢两侧壁：304 发纹不锈钢 厚度≧1.5mm</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★2、轿厢后壁：304 发纹不锈钢 厚度≧1.5mm轿厢后壁与开门等宽不锈钢全身镜；</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★3、轿厢顶：发纹不锈钢+LED</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★4、轿厢地板：天然大理石或蜂窝铝大理石地面。密度≧2.6g/cm³，厚度≧2cm。</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★5、轿厢净高≧2600mm</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★6、轿门材质：304 发纹不锈钢 厚度≧1.5mm</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★7、通风设施：低噪音风机通风 </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★8、通讯设施：隐藏式对讲装置 </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★9、检修设施：轿顶检修</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★10、梯内空调：配置轿内≧一匹无水单冷空调1台</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13</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操 作 箱</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★1、一整体式操纵箱 </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★2、面板材料：304 发纹不锈钢 厚度≧1.5mm</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★3、显示类型：≧13英寸多媒体媒体液晶显示</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★4、按钮类型：采用不锈钢盲文按钮，带辉光高亮显示</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★5、轿厢三侧发纹不锈钢扶手、残疾人操作盘、轿内语音报站。</w:t>
            </w:r>
            <w:r>
              <w:rPr>
                <w:rFonts w:ascii="Calibri" w:hAnsi="Calibri" w:cs="Calibri"/>
                <w:color w:val="000000"/>
                <w:highlight w:val="none"/>
              </w:rPr>
            </w:r>
            <w:r/>
          </w:p>
        </w:tc>
      </w:tr>
      <w:tr>
        <w:trPr>
          <w:trHeight w:val="205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14</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厅门</w:t>
            </w:r>
            <w:r>
              <w:rPr>
                <w:rFonts w:ascii="Calibri" w:hAnsi="Calibri" w:cs="Calibri"/>
                <w:color w:val="000000"/>
                <w:highlight w:val="none"/>
              </w:rPr>
            </w:r>
            <w:r/>
          </w:p>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信号</w:t>
            </w:r>
            <w:r>
              <w:rPr>
                <w:rFonts w:ascii="Calibri" w:hAnsi="Calibri" w:cs="Calibri"/>
                <w:color w:val="000000"/>
                <w:highlight w:val="none"/>
              </w:rPr>
            </w:r>
            <w:r/>
          </w:p>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装置</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★1、召唤盒形式：微触式按钮</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★2、面板材料：发纹不锈钢面板</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★3、楼层位置显示：LED显示， 楼层位置及运行方向指示</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15</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厅门、门套</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 304 发纹不锈钢 厚度≧1.5mm</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16</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厅外召唤</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304#发纹不锈钢控制面板，各层均采用竖立式召唤箱，带指层数字型液晶显示，显示当前的轿厢位置和运行方向；具有上升与下降方向指示微触式按钮各一副。1层配置以钥匙操作电梯运行开关。</w:t>
            </w:r>
            <w:r>
              <w:rPr>
                <w:rFonts w:ascii="Calibri" w:hAnsi="Calibri" w:cs="Calibri"/>
                <w:color w:val="000000"/>
                <w:highlight w:val="none"/>
              </w:rPr>
            </w:r>
            <w:r/>
          </w:p>
        </w:tc>
      </w:tr>
      <w:tr>
        <w:trPr>
          <w:trHeight w:val="442"/>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17</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应急功能</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轿厢紧急照明，火灾应急返回。</w:t>
            </w:r>
            <w:r>
              <w:rPr>
                <w:rFonts w:ascii="Calibri" w:hAnsi="Calibri" w:cs="Calibri"/>
                <w:color w:val="000000"/>
                <w:highlight w:val="none"/>
              </w:rPr>
            </w:r>
            <w:r/>
          </w:p>
        </w:tc>
      </w:tr>
      <w:tr>
        <w:trPr>
          <w:trHeight w:val="421"/>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18</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通讯功能</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五方通话（机房到监控室的线缆）</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19</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控制柜</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控制柜主板原厂原品牌，并与所投电梯为同一品牌</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20</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电缆</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防缠绕型电梯专用的扁平电缆（随行电缆内含网线）</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21</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导靴</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eastAsia="zh-CN"/>
              </w:rPr>
              <w:t xml:space="preserve">滑动</w:t>
            </w:r>
            <w:r>
              <w:rPr>
                <w:rFonts w:ascii="仿宋" w:hAnsi="仿宋" w:eastAsia="仿宋" w:cs="仿宋"/>
                <w:color w:val="000000"/>
                <w:sz w:val="28"/>
                <w:highlight w:val="none"/>
              </w:rPr>
              <w:t xml:space="preserve">导靴</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22</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反绳轮</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▲金属材质</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23</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对重</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▲金属材质</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24</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噪声</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▲1、投标人所投电梯品牌梯型无机房乘客电梯的正常运行开关门噪声最大值&lt;51DB（A）；</w:t>
            </w:r>
            <w:r>
              <w:rPr>
                <w:rFonts w:ascii="仿宋" w:hAnsi="仿宋" w:eastAsia="仿宋" w:cs="仿宋"/>
                <w:b/>
                <w:color w:val="000000"/>
                <w:sz w:val="28"/>
                <w:highlight w:val="none"/>
              </w:rPr>
              <w:t xml:space="preserve">（提供具有 CMA认证或CNAS 认证的第三方检测机构出具的检测报告扫描件加盖投标单位电子签章，不提供作负偏离处理）</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▲2、投标人所投品牌梯型无机房乘客电梯正常运行轿内运行噪声最大值&lt;50DB（A）。</w:t>
            </w:r>
            <w:r>
              <w:rPr>
                <w:rFonts w:ascii="Calibri" w:hAnsi="Calibri" w:cs="Calibri"/>
                <w:color w:val="000000"/>
                <w:highlight w:val="none"/>
              </w:rPr>
            </w:r>
            <w:r/>
          </w:p>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000000"/>
                <w:sz w:val="28"/>
                <w:highlight w:val="none"/>
              </w:rPr>
              <w:t xml:space="preserve">（提供具有 CMA认证或CNAS 认证的第三方检测机构出具的检测报告扫描件加盖投标单位电子签章，不提供作负偏离处理）</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25</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安全部件</w:t>
            </w:r>
            <w:r>
              <w:rPr>
                <w:rFonts w:ascii="Calibri" w:hAnsi="Calibri" w:cs="Calibri"/>
                <w:color w:val="000000"/>
                <w:highlight w:val="none"/>
              </w:rPr>
            </w:r>
            <w:r/>
          </w:p>
        </w:tc>
        <w:tc>
          <w:tcPr>
            <w:tcMar>
              <w:left w:w="108" w:type="dxa"/>
              <w:top w:w="0" w:type="dxa"/>
              <w:right w:w="108" w:type="dxa"/>
              <w:bottom w:w="0" w:type="dxa"/>
            </w:tcMar>
            <w:tcW w:w="6144"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▲1、曳引机制动器正常动作寿命≥1500万次。</w:t>
            </w:r>
            <w:r>
              <w:rPr>
                <w:rFonts w:ascii="仿宋" w:hAnsi="仿宋" w:eastAsia="仿宋" w:cs="仿宋"/>
                <w:b/>
                <w:color w:val="000000"/>
                <w:sz w:val="28"/>
                <w:highlight w:val="none"/>
              </w:rPr>
              <w:t xml:space="preserve">（提供具有 CMA认证或CNAS 认证的第三方检测机构出具的检测报告扫描件加盖投标单位电子签章，不提供作负偏离处理）</w:t>
            </w:r>
            <w:r>
              <w:rPr>
                <w:rFonts w:ascii="Calibri" w:hAnsi="Calibri" w:cs="Calibri"/>
                <w:color w:val="000000"/>
                <w:highlight w:val="none"/>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仿宋" w:hAnsi="仿宋" w:eastAsia="仿宋" w:cs="仿宋"/>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highlight w:val="none"/>
                <w:lang w:val="en-US" w:eastAsia="zh-CN"/>
              </w:rPr>
              <w:t xml:space="preserve">26</w:t>
            </w:r>
            <w:r>
              <w:rPr>
                <w:rFonts w:ascii="仿宋" w:hAnsi="仿宋" w:eastAsia="仿宋" w:cs="仿宋"/>
                <w:color w:val="000000"/>
                <w:sz w:val="28"/>
                <w:szCs w:val="24"/>
                <w:highlight w:val="none"/>
                <w:lang w:val="en-US" w:eastAsia="zh-CN" w:bidi="ar-SA"/>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hint="eastAsia" w:ascii="仿宋" w:hAnsi="仿宋" w:eastAsia="仿宋" w:cs="仿宋"/>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highlight w:val="none"/>
                <w:lang w:eastAsia="zh-CN"/>
              </w:rPr>
              <w:t xml:space="preserve">门系统</w:t>
            </w:r>
            <w:r>
              <w:rPr>
                <w:rFonts w:hint="eastAsia" w:ascii="仿宋" w:hAnsi="仿宋" w:eastAsia="仿宋" w:cs="仿宋"/>
                <w:color w:val="000000"/>
                <w:sz w:val="28"/>
                <w:szCs w:val="24"/>
                <w:highlight w:val="none"/>
                <w:lang w:val="en-US" w:eastAsia="zh-CN" w:bidi="ar-SA"/>
              </w:rPr>
            </w:r>
            <w:r/>
          </w:p>
        </w:tc>
        <w:tc>
          <w:tcPr>
            <w:tcMar>
              <w:left w:w="108" w:type="dxa"/>
              <w:top w:w="0" w:type="dxa"/>
              <w:right w:w="108" w:type="dxa"/>
              <w:bottom w:w="0" w:type="dxa"/>
            </w:tcMar>
            <w:tcW w:w="6144" w:type="dxa"/>
            <w:vAlign w:val="center"/>
            <w:textDirection w:val="lrTb"/>
            <w:noWrap w:val="false"/>
          </w:tcPr>
          <w:p>
            <w:pPr>
              <w:pStyle w:val="893"/>
              <w:ind w:left="0" w:right="0"/>
              <w:jc w:val="left"/>
              <w:keepLines w:val="0"/>
              <w:keepNext w:val="0"/>
              <w:spacing w:before="0" w:beforeAutospacing="0" w:after="0" w:afterAutospacing="0"/>
              <w:widowControl/>
              <w:rPr>
                <w:rFonts w:ascii="仿宋" w:hAnsi="仿宋" w:eastAsia="仿宋" w:cs="仿宋"/>
                <w:color w:val="000000"/>
                <w:sz w:val="28"/>
                <w:szCs w:val="24"/>
                <w:highlight w:val="none"/>
                <w:lang w:val="en-US" w:eastAsia="zh-CN" w:bidi="ar-SA"/>
              </w:rPr>
              <w:suppressLineNumbers w:val="0"/>
            </w:pP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门机系统开关门动作试验次数</w:t>
            </w:r>
            <w:r>
              <w:rPr>
                <w:rFonts w:ascii="仿宋" w:hAnsi="仿宋" w:eastAsia="仿宋" w:cs="仿宋"/>
                <w:color w:val="000000"/>
                <w:sz w:val="28"/>
                <w:highlight w:val="none"/>
              </w:rPr>
              <w:t xml:space="preserve">≥1</w:t>
            </w:r>
            <w:r>
              <w:rPr>
                <w:rFonts w:hint="eastAsia" w:ascii="仿宋" w:hAnsi="仿宋" w:eastAsia="仿宋" w:cs="仿宋"/>
                <w:color w:val="000000"/>
                <w:sz w:val="28"/>
                <w:highlight w:val="none"/>
                <w:lang w:val="en-US" w:eastAsia="zh-CN"/>
              </w:rPr>
              <w:t xml:space="preserve">0</w:t>
            </w:r>
            <w:r>
              <w:rPr>
                <w:rFonts w:ascii="仿宋" w:hAnsi="仿宋" w:eastAsia="仿宋" w:cs="仿宋"/>
                <w:color w:val="000000"/>
                <w:sz w:val="28"/>
                <w:highlight w:val="none"/>
              </w:rPr>
              <w:t xml:space="preserve">00万次。</w:t>
            </w:r>
            <w:r>
              <w:rPr>
                <w:rFonts w:ascii="仿宋" w:hAnsi="仿宋" w:eastAsia="仿宋" w:cs="仿宋"/>
                <w:b/>
                <w:color w:val="000000"/>
                <w:sz w:val="28"/>
                <w:highlight w:val="none"/>
              </w:rPr>
              <w:t xml:space="preserve">（提供具有 CMA认证或CNAS 认证的第三方检测机构出具的检测报告扫描件加盖投标单位电子签章，不提供作负偏离处理）</w:t>
            </w:r>
            <w:r>
              <w:rPr>
                <w:rFonts w:ascii="仿宋" w:hAnsi="仿宋" w:eastAsia="仿宋" w:cs="仿宋"/>
                <w:color w:val="000000"/>
                <w:sz w:val="28"/>
                <w:szCs w:val="24"/>
                <w:highlight w:val="none"/>
                <w:lang w:val="en-US" w:eastAsia="zh-CN" w:bidi="ar-SA"/>
              </w:rPr>
            </w:r>
            <w:r/>
          </w:p>
        </w:tc>
      </w:tr>
      <w:tr>
        <w:trPr>
          <w:trHeight w:val="340"/>
        </w:trPr>
        <w:tc>
          <w:tcPr>
            <w:tcMar>
              <w:left w:w="108" w:type="dxa"/>
              <w:top w:w="0" w:type="dxa"/>
              <w:right w:w="108" w:type="dxa"/>
              <w:bottom w:w="0" w:type="dxa"/>
            </w:tcMar>
            <w:tcW w:w="112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仿宋" w:hAnsi="仿宋" w:eastAsia="仿宋" w:cs="仿宋"/>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highlight w:val="none"/>
                <w:lang w:val="en-US" w:eastAsia="zh-CN"/>
              </w:rPr>
              <w:t xml:space="preserve">27</w:t>
            </w:r>
            <w:r>
              <w:rPr>
                <w:rFonts w:ascii="仿宋" w:hAnsi="仿宋" w:eastAsia="仿宋" w:cs="仿宋"/>
                <w:color w:val="000000"/>
                <w:sz w:val="28"/>
                <w:szCs w:val="24"/>
                <w:highlight w:val="none"/>
                <w:lang w:val="en-US" w:eastAsia="zh-CN" w:bidi="ar-SA"/>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hint="eastAsia" w:ascii="仿宋" w:hAnsi="仿宋" w:eastAsia="仿宋" w:cs="仿宋"/>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highlight w:val="none"/>
                <w:lang w:eastAsia="zh-CN"/>
              </w:rPr>
              <w:t xml:space="preserve">按钮</w:t>
            </w:r>
            <w:r>
              <w:rPr>
                <w:rFonts w:hint="eastAsia" w:ascii="仿宋" w:hAnsi="仿宋" w:eastAsia="仿宋" w:cs="仿宋"/>
                <w:color w:val="000000"/>
                <w:sz w:val="28"/>
                <w:szCs w:val="24"/>
                <w:highlight w:val="none"/>
                <w:lang w:val="en-US" w:eastAsia="zh-CN" w:bidi="ar-SA"/>
              </w:rPr>
            </w:r>
            <w:r/>
          </w:p>
        </w:tc>
        <w:tc>
          <w:tcPr>
            <w:tcMar>
              <w:left w:w="108" w:type="dxa"/>
              <w:top w:w="0" w:type="dxa"/>
              <w:right w:w="108" w:type="dxa"/>
              <w:bottom w:w="0" w:type="dxa"/>
            </w:tcMar>
            <w:tcW w:w="6144" w:type="dxa"/>
            <w:vAlign w:val="center"/>
            <w:textDirection w:val="lrTb"/>
            <w:noWrap w:val="false"/>
          </w:tcPr>
          <w:p>
            <w:pPr>
              <w:pStyle w:val="893"/>
              <w:ind w:left="0" w:right="0"/>
              <w:jc w:val="left"/>
              <w:keepLines w:val="0"/>
              <w:keepNext w:val="0"/>
              <w:spacing w:before="0" w:beforeAutospacing="0" w:after="0" w:afterAutospacing="0"/>
              <w:widowControl/>
              <w:rPr>
                <w:rFonts w:ascii="仿宋" w:hAnsi="仿宋" w:eastAsia="仿宋" w:cs="仿宋"/>
                <w:color w:val="000000"/>
                <w:sz w:val="28"/>
                <w:szCs w:val="24"/>
                <w:highlight w:val="none"/>
                <w:lang w:val="en-US" w:eastAsia="zh-CN" w:bidi="ar-SA"/>
              </w:rPr>
              <w:suppressLineNumbers w:val="0"/>
            </w:pP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按钮动作寿命</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2000</w:t>
            </w:r>
            <w:r>
              <w:rPr>
                <w:rFonts w:ascii="仿宋" w:hAnsi="仿宋" w:eastAsia="仿宋" w:cs="仿宋"/>
                <w:color w:val="000000"/>
                <w:sz w:val="28"/>
                <w:highlight w:val="none"/>
              </w:rPr>
              <w:t xml:space="preserve">万次。</w:t>
            </w:r>
            <w:r>
              <w:rPr>
                <w:rFonts w:ascii="仿宋" w:hAnsi="仿宋" w:eastAsia="仿宋" w:cs="仿宋"/>
                <w:b/>
                <w:color w:val="000000"/>
                <w:sz w:val="28"/>
                <w:highlight w:val="none"/>
              </w:rPr>
              <w:t xml:space="preserve">（提供具有 CMA认证或CNAS 认证的第三方检测机构出具的检测报告扫描件加盖投标单位电子签章，不提供作负偏离处理）</w:t>
            </w:r>
            <w:r>
              <w:rPr>
                <w:rFonts w:ascii="仿宋" w:hAnsi="仿宋" w:eastAsia="仿宋" w:cs="仿宋"/>
                <w:color w:val="000000"/>
                <w:sz w:val="28"/>
                <w:szCs w:val="24"/>
                <w:highlight w:val="none"/>
                <w:lang w:val="en-US" w:eastAsia="zh-CN" w:bidi="ar-SA"/>
              </w:rPr>
            </w:r>
            <w:r/>
          </w:p>
        </w:tc>
      </w:tr>
    </w:tbl>
    <w:p>
      <w:pPr>
        <w:pStyle w:val="893"/>
        <w:ind w:left="0" w:right="0" w:firstLine="0"/>
        <w:jc w:val="both"/>
        <w:spacing w:before="240" w:after="240"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r>
      <w:r/>
    </w:p>
    <w:p>
      <w:pPr>
        <w:pStyle w:val="893"/>
        <w:ind w:left="0" w:right="0" w:firstLine="0"/>
        <w:jc w:val="both"/>
        <w:spacing w:before="240" w:after="24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2、无机房无齿轮乘客电梯 (IC卡)，还需对以下技术参数进行响应</w:t>
      </w:r>
      <w:r>
        <w:rPr>
          <w:color w:val="000000"/>
          <w:highlight w:val="none"/>
        </w:rPr>
      </w:r>
      <w:r/>
    </w:p>
    <w:tbl>
      <w:tblPr>
        <w:tblStyle w:val="984"/>
        <w:tblpPr w:horzAnchor="page" w:tblpX="1635" w:vertAnchor="text" w:tblpY="11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710"/>
        <w:gridCol w:w="6072"/>
      </w:tblGrid>
      <w:tr>
        <w:trPr>
          <w:trHeight w:val="340"/>
        </w:trPr>
        <w:tc>
          <w:tcPr>
            <w:tcMar>
              <w:left w:w="108" w:type="dxa"/>
              <w:top w:w="0" w:type="dxa"/>
              <w:right w:w="108" w:type="dxa"/>
              <w:bottom w:w="0" w:type="dxa"/>
            </w:tcMar>
            <w:tcW w:w="1134"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framePr w:vAnchor="text" w:hAnchor="page" w:x="1635" w:y="116"/>
              <w:suppressLineNumbers w:val="0"/>
            </w:pPr>
            <w:r>
              <w:rPr>
                <w:rFonts w:ascii="仿宋" w:hAnsi="仿宋" w:eastAsia="仿宋" w:cs="仿宋"/>
                <w:color w:val="000000"/>
                <w:sz w:val="28"/>
                <w:highlight w:val="none"/>
              </w:rPr>
              <w:t xml:space="preserve">26</w:t>
            </w:r>
            <w:r>
              <w:rPr>
                <w:rFonts w:ascii="Calibri" w:hAnsi="Calibri" w:cs="Calibri"/>
                <w:color w:val="000000"/>
                <w:highlight w:val="none"/>
              </w:rPr>
            </w:r>
            <w:r/>
          </w:p>
        </w:tc>
        <w:tc>
          <w:tcPr>
            <w:tcMar>
              <w:left w:w="108" w:type="dxa"/>
              <w:top w:w="0" w:type="dxa"/>
              <w:right w:w="108" w:type="dxa"/>
              <w:bottom w:w="0" w:type="dxa"/>
            </w:tcMar>
            <w:tcW w:w="1728" w:type="dxa"/>
            <w:vAlign w:val="center"/>
            <w:textDirection w:val="lrTb"/>
            <w:noWrap w:val="false"/>
          </w:tcPr>
          <w:p>
            <w:pPr>
              <w:pStyle w:val="893"/>
              <w:ind w:left="0" w:right="0" w:firstLine="0"/>
              <w:jc w:val="center"/>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framePr w:vAnchor="text" w:hAnchor="page" w:x="1635" w:y="116"/>
              <w:suppressLineNumbers w:val="0"/>
            </w:pPr>
            <w:r>
              <w:rPr>
                <w:rFonts w:ascii="仿宋" w:hAnsi="仿宋" w:eastAsia="仿宋" w:cs="仿宋"/>
                <w:color w:val="000000"/>
                <w:sz w:val="28"/>
                <w:highlight w:val="none"/>
              </w:rPr>
              <w:t xml:space="preserve">IC卡</w:t>
            </w:r>
            <w:r>
              <w:rPr>
                <w:rFonts w:ascii="Calibri" w:hAnsi="Calibri" w:cs="Calibri"/>
                <w:color w:val="000000"/>
                <w:highlight w:val="none"/>
              </w:rPr>
            </w:r>
            <w:r/>
          </w:p>
        </w:tc>
        <w:tc>
          <w:tcPr>
            <w:tcMar>
              <w:left w:w="108" w:type="dxa"/>
              <w:top w:w="0" w:type="dxa"/>
              <w:right w:w="108" w:type="dxa"/>
              <w:bottom w:w="0" w:type="dxa"/>
            </w:tcMar>
            <w:tcW w:w="6153" w:type="dxa"/>
            <w:vAlign w:val="center"/>
            <w:textDirection w:val="lrTb"/>
            <w:noWrap w:val="false"/>
          </w:tcPr>
          <w:p>
            <w:pPr>
              <w:pStyle w:val="893"/>
              <w:ind w:left="0" w:right="0" w:firstLine="0"/>
              <w:jc w:val="both"/>
              <w:keepLines w:val="0"/>
              <w:keepNext w:val="0"/>
              <w:spacing w:before="0" w:beforeAutospacing="0" w:after="0" w:afterAutospacing="0" w:line="519" w:lineRule="atLeast"/>
              <w:rPr>
                <w:rFonts w:ascii="Calibri" w:hAnsi="Calibri" w:cs="Calibri"/>
                <w:color w:val="000000"/>
                <w:highlight w:val="none"/>
              </w:rPr>
              <w:pBdr>
                <w:top w:val="none" w:color="000000" w:sz="0" w:space="0"/>
                <w:left w:val="none" w:color="000000" w:sz="0" w:space="0"/>
                <w:bottom w:val="none" w:color="000000" w:sz="0" w:space="0"/>
                <w:right w:val="none" w:color="000000" w:sz="0" w:space="0"/>
              </w:pBdr>
              <w:framePr w:vAnchor="text" w:hAnchor="page" w:x="1635" w:y="116"/>
              <w:suppressLineNumbers w:val="0"/>
            </w:pPr>
            <w:r>
              <w:rPr>
                <w:rFonts w:ascii="仿宋" w:hAnsi="仿宋" w:eastAsia="仿宋" w:cs="仿宋"/>
                <w:color w:val="000000"/>
                <w:sz w:val="28"/>
                <w:highlight w:val="none"/>
              </w:rPr>
              <w:t xml:space="preserve">厅外IC卡管控</w:t>
            </w:r>
            <w:r>
              <w:rPr>
                <w:rFonts w:ascii="Calibri" w:hAnsi="Calibri" w:cs="Calibri"/>
                <w:color w:val="000000"/>
                <w:highlight w:val="none"/>
              </w:rPr>
            </w:r>
            <w:r/>
          </w:p>
        </w:tc>
      </w:tr>
    </w:tbl>
    <w:p>
      <w:pPr>
        <w:pStyle w:val="893"/>
        <w:ind w:left="0" w:right="0" w:firstLine="0"/>
        <w:jc w:val="both"/>
        <w:spacing w:before="0" w:after="0"/>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r>
      <w:r/>
    </w:p>
    <w:p>
      <w:pPr>
        <w:pStyle w:val="89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w:t>
      </w:r>
      <w:r>
        <w:rPr>
          <w:rFonts w:ascii="仿宋" w:hAnsi="仿宋" w:eastAsia="仿宋" w:cs="仿宋"/>
          <w:b/>
          <w:color w:val="000000"/>
          <w:sz w:val="28"/>
          <w:highlight w:val="none"/>
        </w:rPr>
        <w:t xml:space="preserve">3、功能表（投标人需承诺提供的电梯应包括但不限于下列功能内容。提供承诺函并加盖电子签章，未提供的按无效投标处理）</w:t>
      </w:r>
      <w:r>
        <w:rPr>
          <w:color w:val="000000"/>
          <w:highlight w:val="none"/>
        </w:rPr>
      </w:r>
      <w:r/>
    </w:p>
    <w:tbl>
      <w:tblPr>
        <w:tblStyle w:val="98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1699"/>
        <w:gridCol w:w="6087"/>
      </w:tblGrid>
      <w:tr>
        <w:trPr>
          <w:trHeight w:val="529"/>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序号</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功能名称</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功能说明</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全集选</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电梯对大楼内上、下召唤信号、轿内选层指令及各种信号进行综合分析判断后，将自动优选与电梯运行方向一致的信号进行依次应答。</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并联/单控控制运行功能</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并联控制状态下，在无召唤指令时，一台电梯将停在基站关门待机，另一台电梯将停在并联中间层楼或其他层站关门待机；在有厅外召唤指令登记时，电梯系统将分配给最合适的电梯立刻应答。</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满载直驶</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当轿厢内载荷达到满载预设值时，即进入满载直驶状态，电梯将不再应答厅外召唤而直接响应轿内指令直达指定楼层。</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超载保护</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当轿厢的载重量超出额定允许的载重时，超载蜂鸣器会鸣响以提示超载。此时显示超载，轿厢不关门，电梯不能起动。</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5</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终端楼层保护</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当电梯运行到终端楼层时，运行速度没有减至预设值时，系统将强迫减速，保护电梯的安全运行。</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6</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重新初始化运行</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当电源因中断而恢复后，电梯位置信号未能保留或不能确定轿厢位置时，电梯将驶向端站重新定位。定位后位置显示器显示电梯所在的层楼位置，并恢复正常运行。</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7</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数字式大厅/轿内显示</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在轿内的操纵面板及每层楼的大厅召唤盒上随时显示电梯所在层站，以方便乘客了解电梯当前运行位置。</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8</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轿顶检修</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电梯轿顶设有检修箱，使检修维护更为安全快捷。</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9</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轿厢内应急照明</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当照明电源断电时，立即提供满足最低要求的轿厢照明</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10</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内部通话装置</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用于在特殊情况下通过设置在轿厢操纵面板上的，轿顶上的，轿底的对讲装置保持与顶层或监控中心的语音联系，且顶层与监控中心也能语音联系。</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11</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轿内警铃</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供在特殊情况下乘客通过按动轿厢内报警按钮，及时通知外界。</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12</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轿内反向指令消除</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当电梯沿途响应完最后一个轿内指令或层站召唤后，系统自动检查并消除余下的轿内指令</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13</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取消错误呼叫功能</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如果按错轿厢内选层按钮，在0.3~1.0秒内再连续两次按此按钮，登录可以被取消。</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14</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光幕门保护</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专用光幕门保护系统增强了电梯的安全性，系统可在电梯门口形成密集的红外交叉光幕，对于任何进入其探测区域的人或物体都能做出敏锐的反应，为进出的乘客提供最大程度的安全保护。</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15</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自动泊梯</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群控组内电梯在大楼内所有电梯均处于空闲状态时，会自动停泊于大楼的不同层楼以提高电梯组对召唤的响应速度。</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16</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轿厢关门保护</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当轿厢门不能完全关闭时，门反向开启</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17</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开、关门按钮</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电梯轿厢操纵面板上设有控制开关门的微动按钮，以方便乘客根据需要灵活掌握开关门的时间。</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18</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本层厅外开门</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在正常关门过程中，厅外与电梯同向的召唤按钮被按下时，电梯将重新开门。</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19</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关门力矩保护</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当关门时受到反向阻力，超过预设的力矩值时，电梯将重新开门。</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20</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关门等待取消</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自动状态下，在门保持全开状态并且处于开门延时阶段时，按关门按钮可立即执行提前关门。</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21</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停梯开关</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即驻停开关，当设置在指定楼层的钥匙开关动作后，电梯将在应答完所有指令后返回指定层楼，同时将启用节能模式，切断轿内照明并点亮厅外停梯开关指示灯。</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22</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启动时力矩补偿</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为使电梯起动时获得更好的舒适感，系统对轿厢内载荷进行计算，并通过起动时的力矩补偿给予优化。</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23</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轿内风扇照明控制</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在没有接到任何操作指令的情况下，电梯在关门后的预定时间内，将进入节能模式，关闭轿内的照明和风扇</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24</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厅外及轿内方向指示</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为方便乘客了解电梯的运行方向，在轿内操纵面板和厅外召唤面板上有箭头状指示灯提示运行方向。</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25</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紧急消防操作</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大楼发生火警时，系统在接收到火警信号后，将取消所有指令和召唤信号，驱动电梯直接返回消防层，开门疏散乘客，等待消防员操作。</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26</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五方对讲</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监控中心、机房、轿厢、轿顶、地坑五方语音对讲通讯</w:t>
            </w:r>
            <w:r>
              <w:rPr>
                <w:rFonts w:ascii="Calibri" w:hAnsi="Calibri" w:cs="Calibri"/>
                <w:color w:val="000000"/>
                <w:highlight w:val="none"/>
              </w:rPr>
            </w:r>
            <w:r/>
          </w:p>
        </w:tc>
      </w:tr>
      <w:tr>
        <w:trPr>
          <w:trHeight w:val="505"/>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27</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轿门锁</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电梯运行中或停止于平层区外时，如果有人在轿箱内强行扒门，则蜂鸣器发出连续的报警声以示警告。如果报警声已经响起，乘客却继续扒门，导致门被打开，则电梯将保护性停止，直到确认门关上后再启动。</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28</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防捣乱功能</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轿箱内载重量在100公斤以下，却有4个以上的轿厢按钮被呼叫时，则会取消所有轿厢呼叫。</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29</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门的异常检测装置</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轿门在预定时间内应开而不开或不完全开启时，轿厢自动关门，再应答其他呼叫。轿门在预定时间内应关而未能关闭时，将会重复关门动作以清除门坎上的障碍物。</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30</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停用运转</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通过指定楼层呼梯按钮上钥匙开关进行停梯操作。</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31</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视频电缆(轿厢至控制柜)</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随行电缆内应有一条视频电缆用于接入视频输入、输出设备。</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32</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预留消防联动接口</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电梯控制柜预留消防联动接线口或接线柱</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33</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层高自测定</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电梯能进行井道自学习，可精确的测量楼层高度。标配自动平层功能</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34</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电动机空转保护</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当钢丝绳/钢带打滑时，电梯能有效检测并停止运行。</w:t>
            </w:r>
            <w:r>
              <w:rPr>
                <w:rFonts w:ascii="Calibri" w:hAnsi="Calibri" w:cs="Calibri"/>
                <w:color w:val="000000"/>
                <w:highlight w:val="none"/>
              </w:rPr>
            </w:r>
            <w:r/>
          </w:p>
        </w:tc>
      </w:tr>
      <w:tr>
        <w:trPr>
          <w:trHeight w:val="720"/>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35</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位置异常自动校正</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当轿厢位置或显示楼层出现偏差，电梯会通过到达一次端层后自动校正偏差。标配防轿厢意外移动功能。</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36</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电源相位故障检测</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电源欠相或错相时禁止电梯运行。</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37</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检修及紧急电动运行</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在轿顶及机房设置检修和紧急电动运行操作开关，检修运行状态时只能通过手动点击检修操作开关进行电梯慢速上下行运行。</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38</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运行故障历史纪录</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电梯能将处理器检测出的故障存储到存储器中，便于维保人员调用。</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39</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故障自动检测</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电梯通过软件能自动检测出故障点，使维保人员更快捷的排除故障。</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40</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安全停靠</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电梯因故停在门区外,如经自检能启动,就近平层开门</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41</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消防功能</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智能化设备报警，自动降至首层，放出乘客后不在响应任何外呼</w:t>
            </w:r>
            <w:r>
              <w:rPr>
                <w:rFonts w:ascii="Calibri" w:hAnsi="Calibri" w:cs="Calibri"/>
                <w:color w:val="000000"/>
                <w:highlight w:val="none"/>
              </w:rPr>
            </w:r>
            <w:r/>
          </w:p>
        </w:tc>
      </w:tr>
      <w:tr>
        <w:trPr>
          <w:trHeight w:val="534"/>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42</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消防功能</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消防状态下，消防功能可使用电梯到达基层</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43</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消防警铃</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智能化设备报警，自动降至首层并发出火灾警报提示</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44</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电机过热保护装置</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电机温度过高, 电梯就近平层开门，等待电机降温后恢复工作。</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45</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超速保护装置</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电梯超速,使电梯降低到安全速度并最终停止的装置</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46</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极限保护装置</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防止电梯冲顶或蹲底</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47</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逆变散热器高温检测</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当逆变装置温度超过设定值时，电梯轿厢将就近停层，让乘客出来。冷却后电梯正常运行</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48</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门位置开关</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轿门的门机需配置独立限位开关</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49</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安全钳安全触点</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安全钳内的安全开关反馈安全钳工作状况</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50</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限速器安全触点</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限速器装有安全触点，如果速度超过允许值时会使电梯停止</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51</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抱闸动作的双安全检测</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正反方向抱闸制动曳引机</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52</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驻停（泊梯）功能</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首层设锁梯开关</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53</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轿门门机</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变压变频调速电脑控制交流驱动（无连杆）</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54</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轿厢空调</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单冷</w:t>
            </w:r>
            <w:r>
              <w:rPr>
                <w:rFonts w:ascii="Calibri" w:hAnsi="Calibri" w:cs="Calibri"/>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55</w:t>
            </w:r>
            <w:r>
              <w:rPr>
                <w:rFonts w:ascii="Calibri" w:hAnsi="Calibri" w:cs="Calibri"/>
                <w:color w:val="000000"/>
                <w:highlight w:val="none"/>
              </w:rPr>
            </w:r>
            <w:r/>
          </w:p>
        </w:tc>
        <w:tc>
          <w:tcPr>
            <w:tcMar>
              <w:left w:w="108" w:type="dxa"/>
              <w:top w:w="0" w:type="dxa"/>
              <w:right w:w="108" w:type="dxa"/>
              <w:bottom w:w="0" w:type="dxa"/>
            </w:tcMar>
            <w:tcW w:w="1747" w:type="dxa"/>
            <w:vAlign w:val="center"/>
            <w:textDirection w:val="lrTb"/>
            <w:noWrap w:val="false"/>
          </w:tcPr>
          <w:p>
            <w:pPr>
              <w:pStyle w:val="893"/>
              <w:ind w:left="0" w:right="0" w:firstLine="0"/>
              <w:jc w:val="both"/>
              <w:keepLines w:val="0"/>
              <w:keepNext w:val="0"/>
              <w:spacing w:before="210" w:beforeAutospacing="0" w:after="210" w:afterAutospacing="0" w:line="240" w:lineRule="auto"/>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安全装置</w:t>
            </w:r>
            <w:r>
              <w:rPr>
                <w:rFonts w:ascii="Calibri" w:hAnsi="Calibri" w:cs="Calibri"/>
                <w:color w:val="000000"/>
                <w:highlight w:val="none"/>
              </w:rPr>
            </w:r>
            <w:r/>
          </w:p>
        </w:tc>
        <w:tc>
          <w:tcPr>
            <w:tcMar>
              <w:left w:w="108" w:type="dxa"/>
              <w:top w:w="0" w:type="dxa"/>
              <w:right w:w="108" w:type="dxa"/>
              <w:bottom w:w="0" w:type="dxa"/>
            </w:tcMar>
            <w:tcW w:w="6341" w:type="dxa"/>
            <w:vAlign w:val="center"/>
            <w:textDirection w:val="lrTb"/>
            <w:noWrap w:val="false"/>
          </w:tcPr>
          <w:p>
            <w:pPr>
              <w:pStyle w:val="893"/>
              <w:ind w:left="0" w:right="0" w:firstLine="0"/>
              <w:jc w:val="center"/>
              <w:keepLines w:val="0"/>
              <w:keepNext w:val="0"/>
              <w:spacing w:before="210" w:beforeAutospacing="0" w:after="160" w:afterAutospacing="0" w:line="400" w:lineRule="atLeast"/>
              <w:tabs>
                <w:tab w:val="left" w:pos="2020" w:leader="none"/>
                <w:tab w:val="left" w:pos="4535" w:leader="none"/>
              </w:tabs>
              <w:rPr>
                <w:rFonts w:ascii="Calibri" w:hAnsi="Calibri" w:cs="Calibri"/>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断电自动平层功能</w:t>
            </w:r>
            <w:r>
              <w:rPr>
                <w:rFonts w:ascii="Calibri" w:hAnsi="Calibri" w:cs="Calibri"/>
                <w:color w:val="000000"/>
                <w:highlight w:val="none"/>
              </w:rPr>
            </w:r>
            <w:r/>
          </w:p>
        </w:tc>
      </w:tr>
    </w:tbl>
    <w:p>
      <w:pPr>
        <w:pStyle w:val="893"/>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三、本次投标报价为工程总价包干价格，包含但不限于以下内容</w:t>
      </w:r>
      <w:r>
        <w:rPr>
          <w:color w:val="000000"/>
          <w:highlight w:val="none"/>
        </w:rPr>
      </w:r>
      <w:r/>
    </w:p>
    <w:p>
      <w:pPr>
        <w:pStyle w:val="893"/>
        <w:ind w:left="0" w:right="0" w:firstLine="567"/>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1</w:t>
      </w:r>
      <w:r>
        <w:rPr>
          <w:rFonts w:ascii="仿宋" w:hAnsi="仿宋" w:eastAsia="仿宋" w:cs="仿宋"/>
          <w:color w:val="000000"/>
          <w:sz w:val="28"/>
          <w:highlight w:val="none"/>
        </w:rPr>
        <w:t xml:space="preserve">、本项目为交钥匙工程，包括井道内原有旧电梯拆除工程、层门保持原样、拆装工程中的修补、井道整改、旧梯拆除及运输存放、工程设计、基坑渗水处理、土建施工、电梯设备安装调试、设备的设计、制造、专利、设备和材料的价格、装潢（含效果图）、随设备提供的备用品配件及专用工具的价格、包装费、运杂费（运抵甲方工地现场）、保险费（运输、安装、人身等），砸墙及土建整改费、各层门大门套费等。</w:t>
      </w:r>
      <w:r>
        <w:rPr>
          <w:color w:val="000000"/>
          <w:highlight w:val="none"/>
        </w:rPr>
      </w:r>
      <w:r/>
    </w:p>
    <w:p>
      <w:pPr>
        <w:pStyle w:val="893"/>
        <w:ind w:left="0" w:right="0" w:firstLine="567"/>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注：旧电梯拆除后归甲方所有，拆除后设备放至甲方指定地点。</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2</w:t>
      </w:r>
      <w:r>
        <w:rPr>
          <w:rFonts w:ascii="仿宋" w:hAnsi="仿宋" w:eastAsia="仿宋" w:cs="仿宋"/>
          <w:color w:val="000000"/>
          <w:sz w:val="28"/>
          <w:highlight w:val="none"/>
        </w:rPr>
        <w:t xml:space="preserve">、资料费、辅材费（含预埋件等所有辅材的购置、加工、安装费用）、井道内脚手架等设施费用、安装费（人工和机械设备等费用）、调试费、砝码租赁费（含往来运费）、政府主管部门各项规费（当地特种设备监督检验部门监督、检测和验收等直至领取运行合格证交付使用前的全部费用）。</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3</w:t>
      </w:r>
      <w:r>
        <w:rPr>
          <w:rFonts w:ascii="仿宋" w:hAnsi="仿宋" w:eastAsia="仿宋" w:cs="仿宋"/>
          <w:color w:val="000000"/>
          <w:sz w:val="28"/>
          <w:highlight w:val="none"/>
        </w:rPr>
        <w:t xml:space="preserve">、操作维护人员培训费、维保服务费、利润、货物本身已支付或将支付的关税、增值税和其他税费等为完成本项工程供货、安装、维保等工作所必需的各种费用，以及合同明示或暗示的风险、责任和义务等费用。中标后不得追加任何费用。</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4</w:t>
      </w:r>
      <w:r>
        <w:rPr>
          <w:rFonts w:ascii="仿宋" w:hAnsi="仿宋" w:eastAsia="仿宋" w:cs="仿宋"/>
          <w:color w:val="000000"/>
          <w:sz w:val="28"/>
          <w:highlight w:val="none"/>
        </w:rPr>
        <w:t xml:space="preserve">、报价表中没有具体报价的费用必须包含在投标总价中。投标人应按照采购人提供的图纸、技术资料及招标文件规定的格式和要求完整填报单价、合价及总价。投标人在报价中未报或少报的费用，视为对采购人的优惠并已包括在投标总价中。采购人将不予承担。涉及第三方的未报或少报的费用，仍由投标人承担并支付，投标人不愿支付的，该费用由采购人代扣代付。投标人应充分考虑合同风险和制造、安装施工期间各类材料市场的风险以及国家政策性调整风险系数，并计入总价，中标价一经确认均不得调整。</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投标人必须代甲方办理电梯检测手续和领取电梯使用登记标志及质监站验收合格等所有手续，所发生的费用包含在合同总价中，由投标人自行支付。投标人应充分考虑制造、安装施工期间各类材料市场的风险和国家政策性调整风险系数，并计入总价，中标价不得调整。</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5</w:t>
      </w:r>
      <w:r>
        <w:rPr>
          <w:rFonts w:ascii="仿宋" w:hAnsi="仿宋" w:eastAsia="仿宋" w:cs="仿宋"/>
          <w:color w:val="000000"/>
          <w:sz w:val="28"/>
          <w:highlight w:val="none"/>
        </w:rPr>
        <w:t xml:space="preserve">、投标人在报价中还应包含但不限于以下内容的费用，如不含视为已包含，结算时不予变更：</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（1）电梯机房内动力配电箱至电梯电源箱之间的连接电源跨线等相关材料采购及安装等；</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（2）电梯机房内的降温、除湿设备采购及安装，应符合国家标准要求；</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（3）电梯机房内高台爬梯、护栏的采购及安装，应符合国家验收标准要求；</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（4）电梯机房内应设置干粉灭火器采购及安装，应符合国家验收标准要求；</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（5）电梯的外包装箱由中标单位清除出场，做到安装完工后清场；</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（6）在采购人未提供正式用电前，电梯中标单位负责通过临时用电进行电梯验收，其所涉及的费用；电梯中标单位不得以采购人未提供正式用电而拒绝进行验收，其造成的一切后果由电梯中标单位承担；</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（7）电梯验收合格、取得特种设备使用标志后，交付采购人前，电梯中标单位负责电梯轿厢内护板的采购及安装所涉及的费用；</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（8）电梯单位在电梯验收合格、取得特种设备使用标志前，自行负责相关设备、材料的保管。</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6</w:t>
      </w:r>
      <w:r>
        <w:rPr>
          <w:rFonts w:ascii="仿宋" w:hAnsi="仿宋" w:eastAsia="仿宋" w:cs="仿宋"/>
          <w:color w:val="000000"/>
          <w:sz w:val="28"/>
          <w:highlight w:val="none"/>
        </w:rPr>
        <w:t xml:space="preserve">、中标人应及时提供预埋件，负责预埋施工并承担相应的费用，该费用包含在投标报价中，采购人不再另行支付。</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7</w:t>
      </w:r>
      <w:r>
        <w:rPr>
          <w:rFonts w:ascii="仿宋" w:hAnsi="仿宋" w:eastAsia="仿宋" w:cs="仿宋"/>
          <w:color w:val="000000"/>
          <w:sz w:val="28"/>
          <w:highlight w:val="none"/>
        </w:rPr>
        <w:t xml:space="preserve">、中标人负责该项目的水、电、消防改造调整，基坑污水管网迁移、网络通讯线路迁移、各层门的砸墙及防护、垃圾清运、现场环境保护等。</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8</w:t>
      </w:r>
      <w:r>
        <w:rPr>
          <w:rFonts w:ascii="仿宋" w:hAnsi="仿宋" w:eastAsia="仿宋" w:cs="仿宋"/>
          <w:color w:val="000000"/>
          <w:sz w:val="28"/>
          <w:highlight w:val="none"/>
        </w:rPr>
        <w:t xml:space="preserve">、该项目为更新电梯，现场施工条件复杂，请潜在投标人务必查看现场。因现场条件不符而产生的其他整改费用，由投标人自行承担。联系人：谢伟 13651543786</w:t>
      </w:r>
      <w:r>
        <w:rPr>
          <w:color w:val="000000"/>
          <w:highlight w:val="none"/>
        </w:rPr>
      </w:r>
      <w:r/>
    </w:p>
    <w:p>
      <w:pPr>
        <w:pStyle w:val="893"/>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四、其他要求</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1、土建尺寸:本项目电梯井道的数据，投标人需自行勘测(具体井道尺寸以现场尺寸为准) ，采购人不集中组织勘测。投标人提供的产品及服务须适应土建时所预留的尺寸，并运行顺利、正常、可靠。投标人自行勘测现场时如发生人员伤亡事故，由投标人自行承担责任，与采购人无关。投标人对自行勘察的尺寸负责，如后期现场正式测量时发现所测数据有出入均由投标人自行承担相应后果。</w:t>
      </w:r>
      <w:r>
        <w:rPr>
          <w:color w:val="000000"/>
          <w:highlight w:val="none"/>
        </w:rPr>
      </w:r>
      <w:r/>
    </w:p>
    <w:p>
      <w:pPr>
        <w:pStyle w:val="893"/>
        <w:ind w:left="0" w:right="0" w:firstLine="571"/>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其他要求：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做到低碳物流、环保节约、提高资源利用率。</w:t>
      </w:r>
      <w:r>
        <w:rPr>
          <w:color w:val="000000"/>
          <w:highlight w:val="none"/>
        </w:rPr>
      </w:r>
      <w:r/>
    </w:p>
    <w:p>
      <w:pPr>
        <w:pStyle w:val="893"/>
        <w:ind w:left="0" w:right="0" w:firstLine="571"/>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3、备品备件及专用工具:符合施工及保修要求及国家标准、技术规范。</w:t>
      </w:r>
      <w:r>
        <w:rPr>
          <w:color w:val="000000"/>
          <w:highlight w:val="none"/>
        </w:rPr>
      </w:r>
      <w:r/>
    </w:p>
    <w:p>
      <w:pPr>
        <w:pStyle w:val="893"/>
        <w:ind w:left="0" w:right="0" w:firstLine="571"/>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4、相关规范:采用的国家标准、技术规范(如有更新以新文件为准)</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5、验收方法：</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（1）验收时间：中标人在电梯货物整体安装调试完毕后，经3000次无故障运行试验后书面通知使用单位报验。</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（2）按国家有关电梯标准，并请当地特种设备检测中心电梯质检部门验收和试验。</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（3）验收标准：</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电梯制造和安装安全规范GB7588-2003；</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电梯安装验收规范GB10060-93；</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国家质监总局的电梯监督检验规程；</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电梯技术条件GB10058-1997；</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电梯试验方法GB10059-1997；</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电梯维修规范；</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电梯安装工程质量检验评估标准（试行版）；</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电气装置安装工程电梯电气装置施工及验收规范（GB50182-93）；</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高层民用建筑设计防火规范（GB50045）；</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江苏省消防部门的条件及相关的中国国家防火规则；</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电力供应部门的供电规章条例；</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以上规章、标准不论有无年代号，除有特别说明的以外，均以最新有效版本为准。</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6、提供易损配件价格清单。</w:t>
      </w:r>
      <w:r>
        <w:rPr>
          <w:color w:val="000000"/>
          <w:highlight w:val="none"/>
        </w:rPr>
      </w:r>
      <w:r/>
    </w:p>
    <w:p>
      <w:pPr>
        <w:pStyle w:val="893"/>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★五、质保期限</w:t>
      </w:r>
      <w:r>
        <w:rPr>
          <w:color w:val="000000"/>
          <w:highlight w:val="none"/>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投标人须能提供所投产品免费保修期自当地主管部门验收完毕领取运行合格证之日起算，电梯整体质保期限为5年，保修包括正常修理和日常维护，包含每年的年检检测费用，质保可以延长的年限在投标文件中要明确</w:t>
      </w:r>
      <w:r>
        <w:rPr>
          <w:rFonts w:ascii="仿宋" w:hAnsi="仿宋" w:eastAsia="仿宋" w:cs="仿宋"/>
          <w:b/>
          <w:color w:val="000000"/>
          <w:sz w:val="28"/>
          <w:highlight w:val="none"/>
        </w:rPr>
        <w:t xml:space="preserve">（投标人提供承诺书并加盖电子签章，未提供的按无效投标处理）。</w:t>
      </w:r>
      <w:r>
        <w:rPr>
          <w:color w:val="000000"/>
          <w:highlight w:val="none"/>
        </w:rPr>
      </w:r>
      <w:r/>
    </w:p>
    <w:p>
      <w:pPr>
        <w:pStyle w:val="893"/>
        <w:ind w:left="0" w:right="0" w:firstLine="0"/>
        <w:jc w:val="both"/>
        <w:spacing w:before="0" w:after="0" w:line="519" w:lineRule="atLeast"/>
        <w:tabs>
          <w:tab w:val="left" w:pos="900"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六、售后服务及其他伴随服务要求</w:t>
      </w:r>
      <w:r>
        <w:rPr>
          <w:color w:val="000000"/>
          <w:highlight w:val="none"/>
        </w:rPr>
      </w:r>
      <w:r/>
    </w:p>
    <w:p>
      <w:pPr>
        <w:pStyle w:val="893"/>
        <w:ind w:left="0" w:right="0" w:firstLine="560"/>
        <w:jc w:val="both"/>
        <w:spacing w:before="0" w:after="0" w:line="519" w:lineRule="atLeast"/>
        <w:tabs>
          <w:tab w:val="left" w:pos="900"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（1）中标人应负责履行本项目所需设备、物料的供应、运输及场内运输、装卸、安装、调试、质检部门的检验检测、维修保养等一应工作，所需费用已包括在投标总价之内。</w:t>
      </w:r>
      <w:r>
        <w:rPr>
          <w:color w:val="000000"/>
          <w:highlight w:val="none"/>
        </w:rPr>
      </w:r>
      <w:r/>
    </w:p>
    <w:p>
      <w:pPr>
        <w:pStyle w:val="893"/>
        <w:ind w:left="0" w:right="0" w:firstLine="560"/>
        <w:jc w:val="both"/>
        <w:spacing w:before="0" w:after="0" w:line="519" w:lineRule="atLeast"/>
        <w:tabs>
          <w:tab w:val="left" w:pos="900"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（2）中标人负责对采购人的设备维修管理人员免费培训，并在合同签订前提供详细的授课安排，授课师资配备、时间、地点及学员数量的说明。</w:t>
      </w:r>
      <w:r>
        <w:rPr>
          <w:color w:val="000000"/>
          <w:highlight w:val="none"/>
        </w:rPr>
      </w:r>
      <w:r/>
    </w:p>
    <w:p>
      <w:pPr>
        <w:pStyle w:val="893"/>
        <w:ind w:left="0" w:right="0" w:firstLine="560"/>
        <w:jc w:val="both"/>
        <w:spacing w:before="0" w:after="0" w:line="519" w:lineRule="atLeast"/>
        <w:tabs>
          <w:tab w:val="left" w:pos="900"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（3）中标人在合同签订前提供维修专用工具的详细清单。</w:t>
      </w:r>
      <w:r>
        <w:rPr>
          <w:color w:val="000000"/>
          <w:highlight w:val="none"/>
        </w:rPr>
      </w:r>
      <w:r/>
    </w:p>
    <w:p>
      <w:pPr>
        <w:pStyle w:val="893"/>
        <w:ind w:left="0" w:right="0" w:firstLine="562"/>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000000"/>
          <w:sz w:val="28"/>
          <w:highlight w:val="none"/>
        </w:rPr>
        <w:t xml:space="preserve">★</w:t>
      </w:r>
      <w:r>
        <w:rPr>
          <w:rFonts w:ascii="仿宋" w:hAnsi="仿宋" w:eastAsia="仿宋" w:cs="仿宋"/>
          <w:color w:val="000000"/>
          <w:sz w:val="28"/>
          <w:highlight w:val="none"/>
        </w:rPr>
        <w:t xml:space="preserve">（4）投标人承诺在设备发生故障、接到采购人通知后响应时间：电梯困人的求援时间不超过20分钟，故障反应时间小于30分钟，一般故障修复时间小于60分钟，较大故障修复时间小于36小时；投标人承诺在质保期内每月进行常规维护保养不少于两次，每月对电梯的运行安全工作情况作一次全面检查并提交检查报告</w:t>
      </w:r>
      <w:r>
        <w:rPr>
          <w:color w:val="000000"/>
          <w:highlight w:val="none"/>
        </w:rPr>
      </w:r>
      <w:r/>
    </w:p>
    <w:p>
      <w:pPr>
        <w:pStyle w:val="893"/>
        <w:ind w:left="0" w:right="0" w:firstLine="562"/>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000000"/>
          <w:sz w:val="28"/>
          <w:highlight w:val="none"/>
        </w:rPr>
        <w:t xml:space="preserve">说明：本项目报价为全费用报价，包括：“税费、人工费、材料费、专家评审费等一切与本次项目有关的费用”，投标人自己考虑其他费用的发生数额，成交后不作任何调整。</w:t>
      </w:r>
      <w:r>
        <w:rPr>
          <w:color w:val="000000"/>
          <w:highlight w:val="none"/>
        </w:rPr>
      </w:r>
      <w:r/>
    </w:p>
    <w:p>
      <w:pPr>
        <w:pStyle w:val="893"/>
        <w:ind w:left="0" w:right="0" w:firstLine="562"/>
        <w:jc w:val="left"/>
        <w:spacing w:before="0" w:after="0" w:line="519" w:lineRule="atLeast"/>
        <w:rPr>
          <w:rFonts w:ascii="仿宋" w:hAnsi="仿宋" w:eastAsia="仿宋" w:cs="仿宋"/>
          <w:b/>
          <w:color w:val="000000"/>
          <w:sz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000000"/>
          <w:sz w:val="28"/>
          <w:highlight w:val="none"/>
        </w:rPr>
        <w:t xml:space="preserve">注：投标人需针对以上第（4）条提供承诺书并加盖电子签章，未提供的按无效投标处理）。</w:t>
      </w:r>
      <w:r>
        <w:rPr>
          <w:rFonts w:ascii="仿宋" w:hAnsi="仿宋" w:eastAsia="仿宋" w:cs="仿宋"/>
          <w:b/>
          <w:color w:val="000000"/>
          <w:sz w:val="28"/>
          <w:highlight w:val="none"/>
        </w:rPr>
      </w:r>
      <w:r/>
    </w:p>
    <w:p>
      <w:pPr>
        <w:pStyle w:val="893"/>
        <w:ind w:left="0" w:right="0" w:firstLine="0"/>
        <w:jc w:val="left"/>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000000"/>
          <w:sz w:val="28"/>
          <w:highlight w:val="none"/>
        </w:rPr>
        <w:t xml:space="preserve">★七、商务部分</w:t>
      </w:r>
      <w:r>
        <w:rPr>
          <w:color w:val="000000"/>
          <w:highlight w:val="none"/>
        </w:rPr>
      </w:r>
      <w:r/>
    </w:p>
    <w:p>
      <w:pPr>
        <w:pStyle w:val="893"/>
        <w:ind w:left="0" w:right="0" w:firstLine="0"/>
        <w:jc w:val="left"/>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（一）供货时间:合同签订后，接到采购人排产通知后60天内完成交货及安装调试，通过电梯主管部门验收并取得电梯使用合格证书。</w:t>
      </w:r>
      <w:r>
        <w:rPr>
          <w:color w:val="000000"/>
          <w:highlight w:val="none"/>
        </w:rPr>
      </w:r>
      <w:r/>
    </w:p>
    <w:p>
      <w:pPr>
        <w:pStyle w:val="893"/>
        <w:ind w:left="0" w:right="0" w:firstLine="0"/>
        <w:jc w:val="left"/>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（二）供货地点:由采购人指定。</w:t>
      </w:r>
      <w:r>
        <w:rPr>
          <w:color w:val="000000"/>
          <w:highlight w:val="none"/>
        </w:rPr>
      </w:r>
      <w:r/>
    </w:p>
    <w:p>
      <w:pPr>
        <w:pStyle w:val="893"/>
        <w:ind w:left="0" w:right="0" w:firstLine="0"/>
        <w:jc w:val="left"/>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（三）付款方式:合同签订15日生效后付50%作为预付款，电梯安装、调试、验收、检测合格，取得合格检验报告和电梯使用登记标志后30日内付清余款。</w:t>
      </w:r>
      <w:r>
        <w:rPr>
          <w:color w:val="000000"/>
          <w:highlight w:val="none"/>
        </w:rPr>
      </w:r>
      <w:r/>
    </w:p>
    <w:p>
      <w:pPr>
        <w:pStyle w:val="893"/>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14"/>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3"/>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4"/>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4"/>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4"/>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3"/>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4"/>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5"/>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3"/>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3"/>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w:t>
      </w:r>
      <w:r>
        <w:rPr>
          <w:rFonts w:hint="eastAsia" w:ascii="仿宋" w:hAnsi="仿宋" w:eastAsia="仿宋"/>
          <w:sz w:val="28"/>
          <w:szCs w:val="28"/>
          <w:highlight w:val="none"/>
        </w:rPr>
        <w:t xml:space="preserve">二章第15条的规定</w:t>
      </w:r>
      <w:r>
        <w:rPr>
          <w:rFonts w:hint="eastAsia" w:ascii="仿宋" w:hAnsi="仿宋" w:eastAsia="仿宋"/>
          <w:sz w:val="28"/>
          <w:szCs w:val="28"/>
        </w:rPr>
        <w:t xml:space="preserve">，本投标文件的有效期为从开标之日期起计算的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5"/>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5"/>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5"/>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3"/>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4"/>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3"/>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3"/>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3"/>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3"/>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3"/>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3"/>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14"/>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914"/>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4"/>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Mar>
              <w:left w:w="108" w:type="dxa"/>
              <w:top w:w="0" w:type="dxa"/>
              <w:right w:w="108" w:type="dxa"/>
              <w:bottom w:w="0" w:type="dxa"/>
            </w:tcMar>
            <w:tcW w:w="795" w:type="dxa"/>
            <w:vAlign w:val="center"/>
            <w:textDirection w:val="lrTb"/>
            <w:noWrap w:val="false"/>
          </w:tcPr>
          <w:p>
            <w:pPr>
              <w:pStyle w:val="914"/>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914"/>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914"/>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914"/>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4"/>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14"/>
        <w:numPr>
          <w:ilvl w:val="0"/>
          <w:numId w:val="6"/>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14"/>
        <w:numPr>
          <w:ilvl w:val="0"/>
          <w:numId w:val="6"/>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14"/>
        <w:numPr>
          <w:ilvl w:val="0"/>
          <w:numId w:val="6"/>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14"/>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893"/>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893"/>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3"/>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3"/>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14"/>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4"/>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3"/>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3"/>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893"/>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bookmarkStart w:id="37" w:name="_Toc157775454"/>
      <w:r>
        <w:rPr>
          <w:rFonts w:ascii="仿宋" w:hAnsi="仿宋" w:eastAsia="仿宋" w:cs="仿宋"/>
          <w:color w:val="000000"/>
          <w:sz w:val="28"/>
          <w:highlight w:val="none"/>
        </w:rPr>
        <w:t xml:space="preserve">投标人或所投电梯制造商具有的有效期内的《中华人民共和国特种设备生产许可证》（包含乘客电梯许可项目）。</w:t>
      </w:r>
      <w:r>
        <w:rPr>
          <w:color w:val="000000"/>
          <w:highlight w:val="none"/>
        </w:rPr>
      </w:r>
      <w:r/>
    </w:p>
    <w:p>
      <w:pPr>
        <w:pStyle w:val="893"/>
        <w:ind w:firstLine="643"/>
        <w:jc w:val="center"/>
        <w:keepLines w:val="0"/>
        <w:keepNext w:val="0"/>
        <w:pageBreakBefore w:val="0"/>
        <w:spacing w:line="520" w:lineRule="exact"/>
        <w:rPr>
          <w:rFonts w:hint="eastAsia" w:ascii="仿宋" w:hAnsi="仿宋" w:eastAsia="仿宋" w:cs="Arial"/>
          <w:b/>
          <w:bCs/>
          <w:sz w:val="32"/>
        </w:rPr>
        <w:outlineLvl w:val="9"/>
      </w:pPr>
      <w:r>
        <w:rPr>
          <w:rFonts w:hint="eastAsia" w:ascii="仿宋" w:hAnsi="仿宋" w:eastAsia="仿宋" w:cs="Arial"/>
          <w:b/>
          <w:bCs/>
          <w:sz w:val="32"/>
        </w:rPr>
        <w:br w:type="page" w:clear="all"/>
      </w:r>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893"/>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3"/>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893"/>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3"/>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3"/>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3"/>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3"/>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3"/>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3"/>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5"/>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3"/>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3"/>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3"/>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3"/>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3"/>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3"/>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3"/>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3"/>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3"/>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1"/>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3"/>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3"/>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3"/>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3"/>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3"/>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3"/>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901"/>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1"/>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1"/>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1"/>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bCs/>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3"/>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1"/>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1"/>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3"/>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1"/>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01"/>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01"/>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end"/>
    </w:r>
    <w:r>
      <w:rPr>
        <w:rStyle w:val="933"/>
      </w:rPr>
    </w:r>
    <w:r/>
  </w:p>
  <w:p>
    <w:pPr>
      <w:pStyle w:val="9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6"/>
      <w:isLgl w:val="false"/>
      <w:suff w:val="nothing"/>
      <w:lvlText w:val="第%1章"/>
      <w:lvlJc w:val="left"/>
      <w:pPr>
        <w:pStyle w:val="893"/>
        <w:ind w:left="640" w:firstLine="0"/>
      </w:pPr>
      <w:rPr>
        <w:rFonts w:hint="eastAsia"/>
      </w:rPr>
    </w:lvl>
    <w:lvl w:ilvl="1">
      <w:start w:val="1"/>
      <w:numFmt w:val="decimal"/>
      <w:isLgl w:val="false"/>
      <w:suff w:val="nothing"/>
      <w:lvlText w:val=""/>
      <w:lvlJc w:val="left"/>
      <w:pPr>
        <w:pStyle w:val="893"/>
        <w:ind w:left="640" w:firstLine="0"/>
      </w:pPr>
      <w:rPr>
        <w:rFonts w:hint="eastAsia"/>
      </w:rPr>
    </w:lvl>
    <w:lvl w:ilvl="2">
      <w:start w:val="1"/>
      <w:numFmt w:val="decimal"/>
      <w:isLgl w:val="false"/>
      <w:suff w:val="nothing"/>
      <w:lvlText w:val=""/>
      <w:lvlJc w:val="left"/>
      <w:pPr>
        <w:pStyle w:val="893"/>
        <w:ind w:left="640" w:firstLine="0"/>
      </w:pPr>
      <w:rPr>
        <w:rFonts w:hint="eastAsia"/>
      </w:rPr>
    </w:lvl>
    <w:lvl w:ilvl="3">
      <w:start w:val="1"/>
      <w:numFmt w:val="decimal"/>
      <w:isLgl w:val="false"/>
      <w:suff w:val="nothing"/>
      <w:lvlText w:val=""/>
      <w:lvlJc w:val="left"/>
      <w:pPr>
        <w:pStyle w:val="893"/>
        <w:ind w:left="640" w:firstLine="0"/>
      </w:pPr>
      <w:rPr>
        <w:rFonts w:hint="eastAsia"/>
      </w:rPr>
    </w:lvl>
    <w:lvl w:ilvl="4">
      <w:start w:val="1"/>
      <w:numFmt w:val="decimal"/>
      <w:isLgl w:val="false"/>
      <w:suff w:val="nothing"/>
      <w:lvlText w:val=""/>
      <w:lvlJc w:val="left"/>
      <w:pPr>
        <w:pStyle w:val="893"/>
        <w:ind w:left="640" w:firstLine="0"/>
      </w:pPr>
      <w:rPr>
        <w:rFonts w:hint="eastAsia"/>
      </w:rPr>
    </w:lvl>
    <w:lvl w:ilvl="5">
      <w:start w:val="1"/>
      <w:numFmt w:val="decimal"/>
      <w:isLgl w:val="false"/>
      <w:suff w:val="nothing"/>
      <w:lvlText w:val=""/>
      <w:lvlJc w:val="left"/>
      <w:pPr>
        <w:pStyle w:val="893"/>
        <w:ind w:left="640" w:firstLine="0"/>
      </w:pPr>
      <w:rPr>
        <w:rFonts w:hint="eastAsia"/>
      </w:rPr>
    </w:lvl>
    <w:lvl w:ilvl="6">
      <w:start w:val="1"/>
      <w:numFmt w:val="decimal"/>
      <w:isLgl w:val="false"/>
      <w:suff w:val="nothing"/>
      <w:lvlText w:val=""/>
      <w:lvlJc w:val="left"/>
      <w:pPr>
        <w:pStyle w:val="893"/>
        <w:ind w:left="640" w:firstLine="0"/>
      </w:pPr>
      <w:rPr>
        <w:rFonts w:hint="eastAsia"/>
      </w:rPr>
    </w:lvl>
    <w:lvl w:ilvl="7">
      <w:start w:val="1"/>
      <w:numFmt w:val="decimal"/>
      <w:isLgl w:val="false"/>
      <w:suff w:val="nothing"/>
      <w:lvlText w:val=""/>
      <w:lvlJc w:val="left"/>
      <w:pPr>
        <w:pStyle w:val="893"/>
        <w:ind w:left="640" w:firstLine="0"/>
      </w:pPr>
      <w:rPr>
        <w:rFonts w:hint="eastAsia"/>
      </w:rPr>
    </w:lvl>
    <w:lvl w:ilvl="8">
      <w:start w:val="1"/>
      <w:numFmt w:val="decimal"/>
      <w:isLgl w:val="false"/>
      <w:suff w:val="nothing"/>
      <w:lvlText w:val=""/>
      <w:lvlJc w:val="left"/>
      <w:pPr>
        <w:pStyle w:val="893"/>
        <w:ind w:left="640" w:firstLine="0"/>
      </w:pPr>
      <w:rPr>
        <w:rFonts w:hint="eastAsia"/>
      </w:rPr>
    </w:lvl>
  </w:abstractNum>
  <w:abstractNum w:abstractNumId="3">
    <w:multiLevelType w:val="hybridMultilevel"/>
    <w:lvl w:ilvl="0">
      <w:start w:val="2"/>
      <w:numFmt w:val="decimal"/>
      <w:isLgl w:val="false"/>
      <w:suff w:val="nothing"/>
      <w:lvlText w:val="%1、"/>
      <w:lvlJc w:val="left"/>
      <w:pPr>
        <w:pStyle w:val="893"/>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66"/>
      <w:isLgl w:val="false"/>
      <w:suff w:val="tab"/>
      <w:lvlText w:val="%1、"/>
      <w:lvlJc w:val="left"/>
      <w:pPr>
        <w:pStyle w:val="893"/>
        <w:ind w:left="420" w:hanging="420"/>
        <w:tabs>
          <w:tab w:val="num" w:pos="420" w:leader="none"/>
        </w:tabs>
      </w:pPr>
      <w:rPr>
        <w:rFonts w:hint="eastAsia"/>
        <w:b/>
        <w:i w:val="0"/>
      </w:rPr>
    </w:lvl>
    <w:lvl w:ilvl="1">
      <w:start w:val="1"/>
      <w:numFmt w:val="lowerLetter"/>
      <w:isLgl w:val="false"/>
      <w:suff w:val="tab"/>
      <w:lvlText w:val="%2)"/>
      <w:lvlJc w:val="left"/>
      <w:pPr>
        <w:pStyle w:val="893"/>
        <w:ind w:left="840" w:hanging="420"/>
        <w:tabs>
          <w:tab w:val="num" w:pos="840" w:leader="none"/>
        </w:tabs>
      </w:pPr>
    </w:lvl>
    <w:lvl w:ilvl="2">
      <w:start w:val="1"/>
      <w:numFmt w:val="lowerRoman"/>
      <w:isLgl w:val="false"/>
      <w:suff w:val="tab"/>
      <w:lvlText w:val="%3."/>
      <w:lvlJc w:val="right"/>
      <w:pPr>
        <w:pStyle w:val="893"/>
        <w:ind w:left="1260" w:hanging="420"/>
        <w:tabs>
          <w:tab w:val="num" w:pos="1260" w:leader="none"/>
        </w:tabs>
      </w:pPr>
    </w:lvl>
    <w:lvl w:ilvl="3">
      <w:start w:val="1"/>
      <w:numFmt w:val="decimal"/>
      <w:isLgl w:val="false"/>
      <w:suff w:val="tab"/>
      <w:lvlText w:val="%4."/>
      <w:lvlJc w:val="left"/>
      <w:pPr>
        <w:pStyle w:val="893"/>
        <w:ind w:left="1680" w:hanging="420"/>
        <w:tabs>
          <w:tab w:val="num" w:pos="1680" w:leader="none"/>
        </w:tabs>
      </w:pPr>
    </w:lvl>
    <w:lvl w:ilvl="4">
      <w:start w:val="1"/>
      <w:numFmt w:val="lowerLetter"/>
      <w:isLgl w:val="false"/>
      <w:suff w:val="tab"/>
      <w:lvlText w:val="%5)"/>
      <w:lvlJc w:val="left"/>
      <w:pPr>
        <w:pStyle w:val="893"/>
        <w:ind w:left="2100" w:hanging="420"/>
        <w:tabs>
          <w:tab w:val="num" w:pos="2100" w:leader="none"/>
        </w:tabs>
      </w:pPr>
    </w:lvl>
    <w:lvl w:ilvl="5">
      <w:start w:val="1"/>
      <w:numFmt w:val="lowerRoman"/>
      <w:isLgl w:val="false"/>
      <w:suff w:val="tab"/>
      <w:lvlText w:val="%6."/>
      <w:lvlJc w:val="right"/>
      <w:pPr>
        <w:pStyle w:val="893"/>
        <w:ind w:left="2520" w:hanging="420"/>
        <w:tabs>
          <w:tab w:val="num" w:pos="2520" w:leader="none"/>
        </w:tabs>
      </w:pPr>
    </w:lvl>
    <w:lvl w:ilvl="6">
      <w:start w:val="1"/>
      <w:numFmt w:val="decimal"/>
      <w:isLgl w:val="false"/>
      <w:suff w:val="tab"/>
      <w:lvlText w:val="%7."/>
      <w:lvlJc w:val="left"/>
      <w:pPr>
        <w:pStyle w:val="893"/>
        <w:ind w:left="2940" w:hanging="420"/>
        <w:tabs>
          <w:tab w:val="num" w:pos="2940" w:leader="none"/>
        </w:tabs>
      </w:pPr>
    </w:lvl>
    <w:lvl w:ilvl="7">
      <w:start w:val="1"/>
      <w:numFmt w:val="lowerLetter"/>
      <w:isLgl w:val="false"/>
      <w:suff w:val="tab"/>
      <w:lvlText w:val="%8)"/>
      <w:lvlJc w:val="left"/>
      <w:pPr>
        <w:pStyle w:val="893"/>
        <w:ind w:left="3360" w:hanging="420"/>
        <w:tabs>
          <w:tab w:val="num" w:pos="3360" w:leader="none"/>
        </w:tabs>
      </w:pPr>
    </w:lvl>
    <w:lvl w:ilvl="8">
      <w:start w:val="1"/>
      <w:numFmt w:val="lowerRoman"/>
      <w:isLgl w:val="false"/>
      <w:suff w:val="tab"/>
      <w:lvlText w:val="%9."/>
      <w:lvlJc w:val="right"/>
      <w:pPr>
        <w:pStyle w:val="893"/>
        <w:ind w:left="3780" w:hanging="420"/>
        <w:tabs>
          <w:tab w:val="num" w:pos="3780" w:leader="none"/>
        </w:tabs>
      </w:pPr>
    </w:lvl>
  </w:abstractNum>
  <w:abstractNum w:abstractNumId="5">
    <w:multiLevelType w:val="hybridMultilevel"/>
    <w:lvl w:ilvl="0">
      <w:start w:val="2"/>
      <w:numFmt w:val="chineseCountingThousand"/>
      <w:pStyle w:val="972"/>
      <w:isLgl w:val="false"/>
      <w:suff w:val="nothing"/>
      <w:lvlText w:val="第%1部分"/>
      <w:lvlJc w:val="center"/>
      <w:pPr>
        <w:pStyle w:val="893"/>
        <w:ind w:left="432" w:firstLine="288"/>
      </w:pPr>
      <w:rPr>
        <w:rFonts w:hint="eastAsia"/>
        <w:sz w:val="28"/>
        <w:szCs w:val="28"/>
        <w:lang w:val="en-US"/>
      </w:rPr>
    </w:lvl>
    <w:lvl w:ilvl="1">
      <w:start w:val="1"/>
      <w:numFmt w:val="chineseCountingThousand"/>
      <w:isLgl w:val="false"/>
      <w:suff w:val="nothing"/>
      <w:lvlText w:val="%2、"/>
      <w:lvlJc w:val="left"/>
      <w:pPr>
        <w:pStyle w:val="893"/>
        <w:ind w:left="360" w:firstLine="0"/>
      </w:pPr>
      <w:rPr>
        <w:rFonts w:hint="eastAsia"/>
        <w:lang w:val="en-US"/>
      </w:rPr>
    </w:lvl>
    <w:lvl w:ilvl="2">
      <w:start w:val="1"/>
      <w:numFmt w:val="chineseCountingThousand"/>
      <w:isLgl w:val="false"/>
      <w:suff w:val="nothing"/>
      <w:lvlText w:val="(%3)"/>
      <w:lvlJc w:val="left"/>
      <w:pPr>
        <w:pStyle w:val="893"/>
        <w:ind w:left="0" w:firstLine="0"/>
      </w:pPr>
      <w:rPr>
        <w:rFonts w:hint="eastAsia"/>
      </w:rPr>
    </w:lvl>
    <w:lvl w:ilvl="3">
      <w:start w:val="1"/>
      <w:numFmt w:val="decimal"/>
      <w:isLgl w:val="false"/>
      <w:suff w:val="nothing"/>
      <w:lvlText w:val="%4、"/>
      <w:lvlJc w:val="left"/>
      <w:pPr>
        <w:pStyle w:val="893"/>
        <w:ind w:left="0" w:firstLine="0"/>
      </w:pPr>
      <w:rPr>
        <w:rFonts w:hint="eastAsia"/>
      </w:rPr>
    </w:lvl>
    <w:lvl w:ilvl="4">
      <w:start w:val="1"/>
      <w:numFmt w:val="upperLetter"/>
      <w:isLgl w:val="false"/>
      <w:suff w:val="nothing"/>
      <w:lvlText w:val="%5、"/>
      <w:lvlJc w:val="left"/>
      <w:pPr>
        <w:pStyle w:val="893"/>
        <w:ind w:left="0" w:firstLine="0"/>
      </w:pPr>
      <w:rPr>
        <w:rFonts w:hint="eastAsia"/>
      </w:rPr>
    </w:lvl>
    <w:lvl w:ilvl="5">
      <w:start w:val="1"/>
      <w:numFmt w:val="decimal"/>
      <w:isLgl w:val="false"/>
      <w:suff w:val="nothing"/>
      <w:lvlText w:val=""/>
      <w:lvlJc w:val="left"/>
      <w:pPr>
        <w:pStyle w:val="893"/>
        <w:ind w:left="0" w:firstLine="0"/>
      </w:pPr>
      <w:rPr>
        <w:rFonts w:hint="eastAsia"/>
      </w:rPr>
    </w:lvl>
    <w:lvl w:ilvl="6">
      <w:start w:val="1"/>
      <w:numFmt w:val="decimal"/>
      <w:isLgl w:val="false"/>
      <w:suff w:val="nothing"/>
      <w:lvlText w:val=""/>
      <w:lvlJc w:val="left"/>
      <w:pPr>
        <w:pStyle w:val="893"/>
        <w:ind w:left="0" w:firstLine="0"/>
      </w:pPr>
      <w:rPr>
        <w:rFonts w:hint="eastAsia"/>
      </w:rPr>
    </w:lvl>
    <w:lvl w:ilvl="7">
      <w:start w:val="1"/>
      <w:numFmt w:val="decimal"/>
      <w:isLgl w:val="false"/>
      <w:suff w:val="nothing"/>
      <w:lvlText w:val=""/>
      <w:lvlJc w:val="left"/>
      <w:pPr>
        <w:pStyle w:val="893"/>
        <w:ind w:left="0" w:firstLine="0"/>
      </w:pPr>
      <w:rPr>
        <w:rFonts w:hint="eastAsia"/>
      </w:rPr>
    </w:lvl>
    <w:lvl w:ilvl="8">
      <w:start w:val="1"/>
      <w:numFmt w:val="decimal"/>
      <w:isLgl w:val="false"/>
      <w:suff w:val="nothing"/>
      <w:lvlText w:val=""/>
      <w:lvlJc w:val="left"/>
      <w:pPr>
        <w:pStyle w:val="893"/>
        <w:ind w:left="0" w:firstLine="0"/>
      </w:pPr>
      <w:rPr>
        <w:rFonts w:hint="eastAsia"/>
      </w:r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4"/>
      <w:lang w:val="en-US" w:eastAsia="zh-CN" w:bidi="ar-SA"/>
    </w:rPr>
  </w:style>
  <w:style w:type="paragraph" w:styleId="894">
    <w:name w:val="标题 1"/>
    <w:basedOn w:val="893"/>
    <w:next w:val="893"/>
    <w:link w:val="893"/>
    <w:uiPriority w:val="9"/>
    <w:qFormat/>
    <w:pPr>
      <w:keepLines/>
      <w:keepNext/>
      <w:spacing w:before="340" w:after="330" w:line="578" w:lineRule="auto"/>
      <w:outlineLvl w:val="0"/>
    </w:pPr>
    <w:rPr>
      <w:b/>
      <w:bCs/>
      <w:sz w:val="44"/>
      <w:szCs w:val="44"/>
    </w:rPr>
  </w:style>
  <w:style w:type="paragraph" w:styleId="895">
    <w:name w:val="标题 2"/>
    <w:basedOn w:val="893"/>
    <w:next w:val="901"/>
    <w:link w:val="893"/>
    <w:uiPriority w:val="9"/>
    <w:qFormat/>
    <w:pPr>
      <w:keepLines/>
      <w:keepNext/>
      <w:spacing w:before="260" w:after="260" w:line="413" w:lineRule="auto"/>
      <w:outlineLvl w:val="1"/>
    </w:pPr>
    <w:rPr>
      <w:rFonts w:ascii="Arial" w:hAnsi="Arial" w:eastAsia="黑体"/>
      <w:b/>
      <w:sz w:val="32"/>
      <w:szCs w:val="20"/>
    </w:rPr>
  </w:style>
  <w:style w:type="paragraph" w:styleId="896">
    <w:name w:val="标题 3"/>
    <w:basedOn w:val="893"/>
    <w:next w:val="893"/>
    <w:link w:val="893"/>
    <w:uiPriority w:val="9"/>
    <w:qFormat/>
    <w:pPr>
      <w:keepLines/>
      <w:keepNext/>
      <w:spacing w:before="260" w:after="260" w:line="413" w:lineRule="auto"/>
      <w:outlineLvl w:val="2"/>
    </w:pPr>
    <w:rPr>
      <w:rFonts w:ascii="Arial" w:hAnsi="Arial"/>
      <w:b/>
      <w:sz w:val="32"/>
      <w:szCs w:val="20"/>
    </w:rPr>
  </w:style>
  <w:style w:type="paragraph" w:styleId="897">
    <w:name w:val="标题 4"/>
    <w:basedOn w:val="893"/>
    <w:next w:val="893"/>
    <w:link w:val="903"/>
    <w:uiPriority w:val="9"/>
    <w:qFormat/>
    <w:pPr>
      <w:keepLines/>
      <w:keepNext/>
      <w:spacing w:before="280" w:after="290" w:line="376" w:lineRule="auto"/>
      <w:outlineLvl w:val="3"/>
    </w:pPr>
    <w:rPr>
      <w:rFonts w:ascii="Cambria" w:hAnsi="Cambria"/>
      <w:b/>
      <w:bCs/>
      <w:sz w:val="28"/>
      <w:szCs w:val="28"/>
    </w:rPr>
  </w:style>
  <w:style w:type="paragraph" w:styleId="898">
    <w:name w:val="标题 5"/>
    <w:basedOn w:val="893"/>
    <w:next w:val="893"/>
    <w:link w:val="904"/>
    <w:uiPriority w:val="9"/>
    <w:qFormat/>
    <w:pPr>
      <w:keepLines/>
      <w:keepNext/>
      <w:spacing w:before="280" w:after="290" w:line="376" w:lineRule="auto"/>
      <w:outlineLvl w:val="4"/>
    </w:pPr>
    <w:rPr>
      <w:b/>
      <w:bCs/>
      <w:sz w:val="28"/>
      <w:szCs w:val="28"/>
    </w:rPr>
  </w:style>
  <w:style w:type="character" w:styleId="899">
    <w:name w:val="默认段落字体"/>
    <w:next w:val="899"/>
    <w:link w:val="893"/>
    <w:semiHidden/>
  </w:style>
  <w:style w:type="table" w:styleId="900">
    <w:name w:val="普通表格"/>
    <w:next w:val="900"/>
    <w:link w:val="89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1">
    <w:name w:val="正文缩进"/>
    <w:basedOn w:val="893"/>
    <w:next w:val="901"/>
    <w:link w:val="902"/>
    <w:pPr>
      <w:ind w:firstLine="420"/>
    </w:pPr>
    <w:rPr>
      <w:szCs w:val="20"/>
    </w:rPr>
  </w:style>
  <w:style w:type="character" w:styleId="902">
    <w:name w:val="正文缩进 Char"/>
    <w:next w:val="902"/>
    <w:link w:val="901"/>
    <w:rPr>
      <w:sz w:val="21"/>
    </w:rPr>
  </w:style>
  <w:style w:type="character" w:styleId="903">
    <w:name w:val="标题 4 Char"/>
    <w:next w:val="903"/>
    <w:link w:val="897"/>
    <w:uiPriority w:val="9"/>
    <w:rPr>
      <w:rFonts w:ascii="Cambria" w:hAnsi="Cambria"/>
      <w:b/>
      <w:bCs/>
      <w:sz w:val="28"/>
      <w:szCs w:val="28"/>
    </w:rPr>
  </w:style>
  <w:style w:type="character" w:styleId="904">
    <w:name w:val="标题 5 Char"/>
    <w:next w:val="904"/>
    <w:link w:val="898"/>
    <w:uiPriority w:val="9"/>
    <w:rPr>
      <w:b/>
      <w:bCs/>
      <w:sz w:val="28"/>
      <w:szCs w:val="28"/>
    </w:rPr>
  </w:style>
  <w:style w:type="paragraph" w:styleId="905">
    <w:name w:val="题注"/>
    <w:basedOn w:val="893"/>
    <w:next w:val="893"/>
    <w:link w:val="893"/>
    <w:uiPriority w:val="35"/>
    <w:qFormat/>
    <w:pPr>
      <w:jc w:val="center"/>
      <w:spacing w:before="156" w:after="156" w:line="360" w:lineRule="auto"/>
    </w:pPr>
    <w:rPr>
      <w:rFonts w:ascii="Arial" w:hAnsi="Arial" w:cs="Arial"/>
      <w:sz w:val="24"/>
      <w:szCs w:val="20"/>
    </w:rPr>
  </w:style>
  <w:style w:type="paragraph" w:styleId="906">
    <w:name w:val="文档结构图"/>
    <w:basedOn w:val="893"/>
    <w:next w:val="906"/>
    <w:link w:val="893"/>
    <w:semiHidden/>
    <w:pPr>
      <w:shd w:val="clear" w:color="auto" w:fill="000080"/>
    </w:pPr>
  </w:style>
  <w:style w:type="paragraph" w:styleId="907">
    <w:name w:val="批注文字"/>
    <w:basedOn w:val="893"/>
    <w:next w:val="907"/>
    <w:link w:val="908"/>
    <w:uiPriority w:val="99"/>
    <w:unhideWhenUsed/>
    <w:pPr>
      <w:jc w:val="left"/>
    </w:pPr>
  </w:style>
  <w:style w:type="character" w:styleId="908">
    <w:name w:val="批注文字 Char"/>
    <w:next w:val="908"/>
    <w:link w:val="907"/>
    <w:uiPriority w:val="99"/>
    <w:rPr>
      <w:sz w:val="21"/>
      <w:szCs w:val="24"/>
    </w:rPr>
  </w:style>
  <w:style w:type="paragraph" w:styleId="909">
    <w:name w:val="正文文本 3"/>
    <w:basedOn w:val="893"/>
    <w:next w:val="909"/>
    <w:link w:val="893"/>
    <w:rPr>
      <w:rFonts w:ascii="楷体_GB2312" w:hAnsi="Arial" w:eastAsia="楷体_GB2312" w:cs="Arial"/>
      <w:b/>
      <w:bCs/>
      <w:color w:val="000000"/>
      <w:sz w:val="24"/>
    </w:rPr>
  </w:style>
  <w:style w:type="paragraph" w:styleId="910">
    <w:name w:val="正文文本"/>
    <w:basedOn w:val="893"/>
    <w:next w:val="910"/>
    <w:link w:val="89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1">
    <w:name w:val="正文文本缩进"/>
    <w:basedOn w:val="893"/>
    <w:next w:val="911"/>
    <w:link w:val="893"/>
    <w:pPr>
      <w:ind w:firstLine="630"/>
    </w:pPr>
    <w:rPr>
      <w:rFonts w:ascii="楷体_GB2312" w:eastAsia="楷体_GB2312"/>
      <w:sz w:val="32"/>
      <w:szCs w:val="20"/>
    </w:rPr>
  </w:style>
  <w:style w:type="paragraph" w:styleId="912">
    <w:name w:val="文本块"/>
    <w:basedOn w:val="893"/>
    <w:next w:val="912"/>
    <w:link w:val="893"/>
    <w:pPr>
      <w:ind w:left="420" w:right="33"/>
      <w:jc w:val="left"/>
    </w:pPr>
    <w:rPr>
      <w:sz w:val="24"/>
      <w:szCs w:val="20"/>
    </w:rPr>
  </w:style>
  <w:style w:type="paragraph" w:styleId="913">
    <w:name w:val="目录 3"/>
    <w:basedOn w:val="893"/>
    <w:next w:val="893"/>
    <w:link w:val="893"/>
    <w:semiHidden/>
    <w:pPr>
      <w:ind w:left="840"/>
      <w:spacing w:line="300" w:lineRule="auto"/>
      <w:tabs>
        <w:tab w:val="right" w:pos="9344" w:leader="dot"/>
      </w:tabs>
    </w:pPr>
    <w:rPr>
      <w:rFonts w:ascii="Arial" w:hAnsi="Arial" w:cs="Arial"/>
      <w:szCs w:val="21"/>
    </w:rPr>
  </w:style>
  <w:style w:type="paragraph" w:styleId="914">
    <w:name w:val="纯文本"/>
    <w:basedOn w:val="893"/>
    <w:next w:val="914"/>
    <w:link w:val="915"/>
    <w:rPr>
      <w:rFonts w:ascii="宋体" w:hAnsi="Courier New"/>
      <w:szCs w:val="20"/>
    </w:rPr>
  </w:style>
  <w:style w:type="character" w:styleId="915">
    <w:name w:val="纯文本 Char"/>
    <w:next w:val="915"/>
    <w:link w:val="914"/>
    <w:rPr>
      <w:rFonts w:ascii="宋体" w:hAnsi="Courier New" w:eastAsia="宋体"/>
      <w:sz w:val="21"/>
      <w:lang w:val="en-US" w:eastAsia="zh-CN" w:bidi="ar-SA"/>
    </w:rPr>
  </w:style>
  <w:style w:type="paragraph" w:styleId="916">
    <w:name w:val="正文文本缩进 2"/>
    <w:basedOn w:val="893"/>
    <w:next w:val="916"/>
    <w:link w:val="893"/>
    <w:pPr>
      <w:ind w:left="420"/>
      <w:spacing w:after="120" w:line="480" w:lineRule="auto"/>
    </w:pPr>
  </w:style>
  <w:style w:type="paragraph" w:styleId="917">
    <w:name w:val="批注框文本"/>
    <w:basedOn w:val="893"/>
    <w:next w:val="917"/>
    <w:link w:val="918"/>
    <w:rPr>
      <w:sz w:val="18"/>
      <w:szCs w:val="18"/>
    </w:rPr>
  </w:style>
  <w:style w:type="character" w:styleId="918">
    <w:name w:val="批注框文本 Char"/>
    <w:next w:val="918"/>
    <w:link w:val="917"/>
    <w:rPr>
      <w:sz w:val="18"/>
      <w:szCs w:val="18"/>
    </w:rPr>
  </w:style>
  <w:style w:type="paragraph" w:styleId="919">
    <w:name w:val="页脚"/>
    <w:basedOn w:val="893"/>
    <w:next w:val="919"/>
    <w:link w:val="920"/>
    <w:pPr>
      <w:jc w:val="left"/>
      <w:tabs>
        <w:tab w:val="center" w:pos="4153" w:leader="none"/>
        <w:tab w:val="right" w:pos="8306" w:leader="none"/>
      </w:tabs>
    </w:pPr>
    <w:rPr>
      <w:sz w:val="18"/>
      <w:szCs w:val="18"/>
    </w:rPr>
  </w:style>
  <w:style w:type="character" w:styleId="920">
    <w:name w:val="页脚 Char"/>
    <w:next w:val="920"/>
    <w:link w:val="919"/>
    <w:rPr>
      <w:sz w:val="18"/>
      <w:szCs w:val="18"/>
    </w:rPr>
  </w:style>
  <w:style w:type="paragraph" w:styleId="921">
    <w:name w:val="页眉"/>
    <w:basedOn w:val="893"/>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sz w:val="18"/>
      <w:szCs w:val="18"/>
    </w:rPr>
  </w:style>
  <w:style w:type="paragraph" w:styleId="923">
    <w:name w:val="目录 1"/>
    <w:basedOn w:val="893"/>
    <w:next w:val="893"/>
    <w:link w:val="893"/>
    <w:semiHidden/>
  </w:style>
  <w:style w:type="paragraph" w:styleId="924">
    <w:name w:val="正文文本缩进 3"/>
    <w:basedOn w:val="893"/>
    <w:next w:val="924"/>
    <w:link w:val="893"/>
    <w:uiPriority w:val="99"/>
    <w:pPr>
      <w:ind w:firstLine="420"/>
    </w:pPr>
    <w:rPr>
      <w:rFonts w:eastAsia="楷体_GB2312"/>
    </w:rPr>
  </w:style>
  <w:style w:type="paragraph" w:styleId="925">
    <w:name w:val="目录 2"/>
    <w:basedOn w:val="893"/>
    <w:next w:val="893"/>
    <w:link w:val="893"/>
    <w:semiHidden/>
    <w:pPr>
      <w:ind w:left="420"/>
    </w:pPr>
    <w:rPr>
      <w:szCs w:val="20"/>
    </w:rPr>
  </w:style>
  <w:style w:type="paragraph" w:styleId="926">
    <w:name w:val="正文文本 2"/>
    <w:basedOn w:val="893"/>
    <w:next w:val="926"/>
    <w:link w:val="927"/>
    <w:pPr>
      <w:spacing w:line="440" w:lineRule="exact"/>
    </w:pPr>
    <w:rPr>
      <w:rFonts w:ascii="楷体_GB2312" w:eastAsia="楷体_GB2312"/>
      <w:sz w:val="28"/>
    </w:rPr>
  </w:style>
  <w:style w:type="character" w:styleId="927">
    <w:name w:val="正文文本 2 Char"/>
    <w:next w:val="927"/>
    <w:link w:val="926"/>
    <w:rPr>
      <w:rFonts w:ascii="楷体_GB2312" w:eastAsia="楷体_GB2312"/>
      <w:sz w:val="28"/>
      <w:szCs w:val="24"/>
    </w:rPr>
  </w:style>
  <w:style w:type="paragraph" w:styleId="928">
    <w:name w:val="批注主题"/>
    <w:basedOn w:val="907"/>
    <w:next w:val="907"/>
    <w:link w:val="929"/>
    <w:rPr>
      <w:b/>
      <w:bCs/>
    </w:rPr>
  </w:style>
  <w:style w:type="character" w:styleId="929">
    <w:name w:val="批注主题 Char"/>
    <w:next w:val="929"/>
    <w:link w:val="928"/>
    <w:rPr>
      <w:b/>
      <w:bCs/>
      <w:sz w:val="21"/>
      <w:szCs w:val="24"/>
    </w:rPr>
  </w:style>
  <w:style w:type="paragraph" w:styleId="930">
    <w:name w:val="正文首行缩进 2"/>
    <w:basedOn w:val="911"/>
    <w:next w:val="930"/>
    <w:link w:val="893"/>
    <w:pPr>
      <w:ind w:left="420" w:firstLine="420"/>
      <w:spacing w:after="120"/>
      <w:widowControl/>
    </w:pPr>
    <w:rPr>
      <w:rFonts w:ascii="仿宋_GB2312" w:eastAsia="仿宋_GB2312"/>
      <w:color w:val="ff6600"/>
      <w:sz w:val="21"/>
    </w:rPr>
  </w:style>
  <w:style w:type="table" w:styleId="931">
    <w:name w:val="网格型"/>
    <w:basedOn w:val="900"/>
    <w:next w:val="931"/>
    <w:link w:val="89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2">
    <w:name w:val="要点"/>
    <w:next w:val="932"/>
    <w:link w:val="893"/>
    <w:qFormat/>
    <w:rPr>
      <w:b w:val="0"/>
      <w:i w:val="0"/>
    </w:rPr>
  </w:style>
  <w:style w:type="character" w:styleId="933">
    <w:name w:val="页码"/>
    <w:next w:val="933"/>
    <w:link w:val="893"/>
  </w:style>
  <w:style w:type="character" w:styleId="934">
    <w:name w:val="已访问的超链接"/>
    <w:next w:val="934"/>
    <w:link w:val="893"/>
    <w:rPr>
      <w:color w:val="800080"/>
      <w:u w:val="none"/>
    </w:rPr>
  </w:style>
  <w:style w:type="character" w:styleId="935">
    <w:name w:val="强调"/>
    <w:next w:val="935"/>
    <w:link w:val="893"/>
    <w:qFormat/>
    <w:rPr>
      <w:b w:val="0"/>
      <w:i w:val="0"/>
    </w:rPr>
  </w:style>
  <w:style w:type="character" w:styleId="936">
    <w:name w:val="HTML 定义"/>
    <w:next w:val="936"/>
    <w:link w:val="893"/>
    <w:rPr>
      <w:b w:val="0"/>
      <w:i w:val="0"/>
    </w:rPr>
  </w:style>
  <w:style w:type="character" w:styleId="937">
    <w:name w:val="HTML 打字机"/>
    <w:next w:val="937"/>
    <w:link w:val="893"/>
    <w:rPr>
      <w:rFonts w:ascii="monospace" w:hAnsi="monospace" w:eastAsia="monospace" w:cs="monospace"/>
      <w:sz w:val="20"/>
    </w:rPr>
  </w:style>
  <w:style w:type="character" w:styleId="938">
    <w:name w:val="HTML 缩写"/>
    <w:next w:val="938"/>
    <w:link w:val="893"/>
  </w:style>
  <w:style w:type="character" w:styleId="939">
    <w:name w:val="HTML 变量"/>
    <w:next w:val="939"/>
    <w:link w:val="893"/>
    <w:rPr>
      <w:b w:val="0"/>
      <w:i w:val="0"/>
    </w:rPr>
  </w:style>
  <w:style w:type="character" w:styleId="940">
    <w:name w:val="超链接"/>
    <w:next w:val="940"/>
    <w:link w:val="893"/>
    <w:rPr>
      <w:color w:val="0000ff"/>
      <w:u w:val="none"/>
    </w:rPr>
  </w:style>
  <w:style w:type="character" w:styleId="941">
    <w:name w:val="HTML 代码"/>
    <w:next w:val="941"/>
    <w:link w:val="893"/>
    <w:rPr>
      <w:rFonts w:ascii="monospace" w:hAnsi="monospace" w:eastAsia="monospace" w:cs="monospace"/>
      <w:b w:val="0"/>
      <w:i w:val="0"/>
      <w:sz w:val="20"/>
    </w:rPr>
  </w:style>
  <w:style w:type="character" w:styleId="942">
    <w:name w:val="批注引用"/>
    <w:next w:val="942"/>
    <w:link w:val="893"/>
    <w:rPr>
      <w:sz w:val="21"/>
      <w:szCs w:val="21"/>
    </w:rPr>
  </w:style>
  <w:style w:type="character" w:styleId="943">
    <w:name w:val="HTML 引文"/>
    <w:next w:val="943"/>
    <w:link w:val="893"/>
    <w:rPr>
      <w:b w:val="0"/>
      <w:i w:val="0"/>
    </w:rPr>
  </w:style>
  <w:style w:type="character" w:styleId="944">
    <w:name w:val="HTML 键盘"/>
    <w:next w:val="944"/>
    <w:link w:val="893"/>
    <w:rPr>
      <w:rFonts w:ascii="monospace" w:hAnsi="monospace" w:eastAsia="monospace" w:cs="monospace"/>
      <w:sz w:val="20"/>
    </w:rPr>
  </w:style>
  <w:style w:type="character" w:styleId="945">
    <w:name w:val="HTML 样本"/>
    <w:next w:val="945"/>
    <w:link w:val="893"/>
    <w:rPr>
      <w:rFonts w:ascii="monospace" w:hAnsi="monospace" w:eastAsia="monospace" w:cs="monospace"/>
    </w:rPr>
  </w:style>
  <w:style w:type="character" w:styleId="946">
    <w:name w:val="Font Style30"/>
    <w:next w:val="946"/>
    <w:link w:val="893"/>
    <w:rPr>
      <w:rFonts w:ascii="宋体" w:eastAsia="宋体" w:cs="宋体"/>
      <w:sz w:val="14"/>
      <w:szCs w:val="14"/>
    </w:rPr>
  </w:style>
  <w:style w:type="character" w:styleId="947">
    <w:name w:val="glyphicon"/>
    <w:next w:val="947"/>
    <w:link w:val="893"/>
  </w:style>
  <w:style w:type="character" w:styleId="948">
    <w:name w:val="Font Style36"/>
    <w:next w:val="948"/>
    <w:link w:val="893"/>
    <w:rPr>
      <w:rFonts w:ascii="宋体" w:eastAsia="宋体" w:cs="宋体"/>
      <w:sz w:val="16"/>
      <w:szCs w:val="16"/>
    </w:rPr>
  </w:style>
  <w:style w:type="character" w:styleId="949">
    <w:name w:val="hour_am"/>
    <w:next w:val="949"/>
    <w:link w:val="893"/>
  </w:style>
  <w:style w:type="character" w:styleId="950">
    <w:name w:val="old"/>
    <w:next w:val="950"/>
    <w:link w:val="893"/>
    <w:rPr>
      <w:color w:val="999999"/>
    </w:rPr>
  </w:style>
  <w:style w:type="character" w:styleId="951">
    <w:name w:val="标题 2 Char,节 Char,Heading 2 Hidden Char,Heading 2 CCBS Char,H2 Char,sect 1.2 Char,H21 Char,sect 1.21 Char,H22 Char,sect 1.22 Char,H211 Char,sect 1.211 Char,H23 Char,sect 1.23 Char,H212 Char,sect 1.212 Char,2nd level Char,h2 Char,2 Char,Header 2 Char"/>
    <w:next w:val="951"/>
    <w:link w:val="893"/>
    <w:rPr>
      <w:rFonts w:ascii="Arial" w:hAnsi="Arial" w:eastAsia="黑体"/>
      <w:b/>
      <w:sz w:val="32"/>
      <w:lang w:val="en-US" w:eastAsia="zh-CN"/>
    </w:rPr>
  </w:style>
  <w:style w:type="character" w:styleId="952">
    <w:name w:val="hover"/>
    <w:next w:val="952"/>
    <w:link w:val="893"/>
    <w:rPr>
      <w:shd w:val="clear" w:color="auto" w:fill="eeeeee"/>
    </w:rPr>
  </w:style>
  <w:style w:type="character" w:styleId="953">
    <w:name w:val="hour_pm"/>
    <w:next w:val="953"/>
    <w:link w:val="893"/>
  </w:style>
  <w:style w:type="character" w:styleId="954">
    <w:name w:val="Font Style28"/>
    <w:next w:val="954"/>
    <w:link w:val="893"/>
    <w:rPr>
      <w:rFonts w:ascii="Constantia" w:hAnsi="Constantia" w:cs="Constantia"/>
      <w:sz w:val="28"/>
      <w:szCs w:val="28"/>
    </w:rPr>
  </w:style>
  <w:style w:type="character" w:styleId="955">
    <w:name w:val="Font Style29"/>
    <w:next w:val="955"/>
    <w:link w:val="893"/>
    <w:rPr>
      <w:rFonts w:ascii="Arial" w:hAnsi="Arial" w:cs="Arial"/>
      <w:sz w:val="14"/>
      <w:szCs w:val="14"/>
    </w:rPr>
  </w:style>
  <w:style w:type="character" w:styleId="956">
    <w:name w:val="Font Style37"/>
    <w:next w:val="956"/>
    <w:link w:val="893"/>
    <w:rPr>
      <w:rFonts w:ascii="Arial" w:hAnsi="Arial" w:cs="Arial"/>
      <w:sz w:val="16"/>
      <w:szCs w:val="16"/>
    </w:rPr>
  </w:style>
  <w:style w:type="character" w:styleId="957">
    <w:name w:val="Plain Text Char"/>
    <w:next w:val="957"/>
    <w:link w:val="893"/>
    <w:rPr>
      <w:rFonts w:ascii="宋体" w:hAnsi="Courier New" w:eastAsia="宋体"/>
      <w:sz w:val="21"/>
      <w:lang w:val="en-US" w:eastAsia="zh-CN" w:bidi="ar-SA"/>
    </w:rPr>
  </w:style>
  <w:style w:type="paragraph" w:styleId="958">
    <w:name w:val="Default"/>
    <w:next w:val="958"/>
    <w:link w:val="893"/>
    <w:pPr>
      <w:widowControl w:val="off"/>
    </w:pPr>
    <w:rPr>
      <w:rFonts w:ascii="仿宋" w:eastAsia="仿宋" w:cs="仿宋"/>
      <w:color w:val="000000"/>
      <w:sz w:val="24"/>
      <w:szCs w:val="24"/>
      <w:lang w:val="en-US" w:eastAsia="zh-CN" w:bidi="ar-SA"/>
    </w:rPr>
  </w:style>
  <w:style w:type="paragraph" w:styleId="959">
    <w:name w:val="默认段落字体 Para Char Char Char Char Char Char Char Char Char1 Char Char Char Char Char Char Char"/>
    <w:basedOn w:val="906"/>
    <w:next w:val="959"/>
    <w:link w:val="893"/>
    <w:rPr>
      <w:rFonts w:ascii="Tahoma" w:hAnsi="Tahoma"/>
      <w:sz w:val="24"/>
    </w:rPr>
  </w:style>
  <w:style w:type="paragraph" w:styleId="960">
    <w:name w:val="Style9"/>
    <w:basedOn w:val="893"/>
    <w:next w:val="960"/>
    <w:link w:val="893"/>
    <w:pPr>
      <w:jc w:val="left"/>
    </w:pPr>
    <w:rPr>
      <w:rFonts w:ascii="宋体"/>
      <w:sz w:val="24"/>
    </w:rPr>
  </w:style>
  <w:style w:type="paragraph" w:styleId="961">
    <w:name w:val="Char"/>
    <w:basedOn w:val="893"/>
    <w:next w:val="961"/>
    <w:link w:val="893"/>
    <w:pPr>
      <w:tabs>
        <w:tab w:val="left" w:pos="360" w:leader="none"/>
      </w:tabs>
    </w:pPr>
    <w:rPr>
      <w:sz w:val="24"/>
    </w:rPr>
  </w:style>
  <w:style w:type="paragraph" w:styleId="962">
    <w:name w:val=" Char Char Char1 Char Char Char Char"/>
    <w:basedOn w:val="893"/>
    <w:next w:val="962"/>
    <w:link w:val="893"/>
    <w:pPr>
      <w:jc w:val="left"/>
      <w:spacing w:after="160" w:line="240" w:lineRule="exact"/>
      <w:widowControl/>
    </w:pPr>
    <w:rPr>
      <w:rFonts w:ascii="宋体" w:hAnsi="宋体"/>
      <w:b/>
      <w:sz w:val="28"/>
      <w:szCs w:val="28"/>
    </w:rPr>
  </w:style>
  <w:style w:type="paragraph" w:styleId="963">
    <w:name w:val="Style10"/>
    <w:basedOn w:val="893"/>
    <w:next w:val="963"/>
    <w:link w:val="893"/>
    <w:pPr>
      <w:jc w:val="left"/>
    </w:pPr>
    <w:rPr>
      <w:rFonts w:ascii="宋体"/>
      <w:sz w:val="24"/>
    </w:rPr>
  </w:style>
  <w:style w:type="paragraph" w:styleId="964">
    <w:name w:val="首行缩进"/>
    <w:basedOn w:val="893"/>
    <w:next w:val="964"/>
    <w:link w:val="893"/>
    <w:qFormat/>
    <w:pPr>
      <w:ind w:firstLine="420"/>
      <w:spacing w:line="360" w:lineRule="auto"/>
    </w:pPr>
    <w:rPr>
      <w:sz w:val="20"/>
    </w:rPr>
  </w:style>
  <w:style w:type="paragraph" w:styleId="965">
    <w:name w:val="普通正文"/>
    <w:basedOn w:val="893"/>
    <w:next w:val="965"/>
    <w:link w:val="893"/>
    <w:pPr>
      <w:ind w:firstLine="480"/>
      <w:jc w:val="left"/>
      <w:spacing w:before="120" w:after="120" w:line="360" w:lineRule="auto"/>
    </w:pPr>
    <w:rPr>
      <w:rFonts w:ascii="Arial" w:hAnsi="Arial"/>
      <w:sz w:val="24"/>
    </w:rPr>
  </w:style>
  <w:style w:type="paragraph" w:styleId="966">
    <w:name w:val="要点标题"/>
    <w:basedOn w:val="893"/>
    <w:next w:val="966"/>
    <w:link w:val="893"/>
    <w:pPr>
      <w:numPr>
        <w:ilvl w:val="0"/>
        <w:numId w:val="1"/>
      </w:numPr>
      <w:jc w:val="left"/>
      <w:tabs>
        <w:tab w:val="left" w:pos="420" w:leader="none"/>
      </w:tabs>
    </w:pPr>
    <w:rPr>
      <w:rFonts w:ascii="宋体" w:hAnsi="宋体"/>
      <w:b/>
      <w:sz w:val="24"/>
    </w:rPr>
  </w:style>
  <w:style w:type="paragraph" w:styleId="967">
    <w:name w:val="文档正文"/>
    <w:basedOn w:val="893"/>
    <w:next w:val="967"/>
    <w:link w:val="893"/>
    <w:pPr>
      <w:ind w:firstLine="567"/>
      <w:spacing w:line="480" w:lineRule="atLeast"/>
    </w:pPr>
    <w:rPr>
      <w:rFonts w:ascii="仿宋_GB2312"/>
      <w:szCs w:val="20"/>
    </w:rPr>
  </w:style>
  <w:style w:type="paragraph" w:styleId="968">
    <w:name w:val="Char Char Char Char"/>
    <w:basedOn w:val="906"/>
    <w:next w:val="968"/>
    <w:link w:val="893"/>
    <w:pPr>
      <w:spacing w:line="360" w:lineRule="auto"/>
    </w:pPr>
    <w:rPr>
      <w:rFonts w:ascii="Tahoma" w:hAnsi="Tahoma"/>
      <w:sz w:val="24"/>
    </w:rPr>
  </w:style>
  <w:style w:type="paragraph" w:styleId="969">
    <w:name w:val=" Char"/>
    <w:basedOn w:val="893"/>
    <w:next w:val="969"/>
    <w:link w:val="893"/>
    <w:pPr>
      <w:ind w:left="420" w:hanging="420"/>
      <w:jc w:val="left"/>
      <w:tabs>
        <w:tab w:val="left" w:pos="420" w:leader="none"/>
      </w:tabs>
    </w:pPr>
    <w:rPr>
      <w:szCs w:val="20"/>
    </w:rPr>
  </w:style>
  <w:style w:type="paragraph" w:styleId="970">
    <w:name w:val="正文（无缩进）"/>
    <w:basedOn w:val="893"/>
    <w:next w:val="970"/>
    <w:link w:val="893"/>
    <w:qFormat/>
    <w:pPr>
      <w:spacing w:line="360" w:lineRule="auto"/>
    </w:pPr>
    <w:rPr>
      <w:rFonts w:ascii="Calibri" w:hAnsi="Calibri"/>
      <w:sz w:val="24"/>
      <w:szCs w:val="21"/>
    </w:rPr>
  </w:style>
  <w:style w:type="paragraph" w:styleId="971">
    <w:name w:val="Style11"/>
    <w:basedOn w:val="893"/>
    <w:next w:val="971"/>
    <w:link w:val="893"/>
    <w:pPr>
      <w:jc w:val="left"/>
      <w:spacing w:line="446" w:lineRule="exact"/>
    </w:pPr>
    <w:rPr>
      <w:rFonts w:ascii="宋体"/>
      <w:sz w:val="24"/>
    </w:rPr>
  </w:style>
  <w:style w:type="paragraph" w:styleId="972">
    <w:name w:val="样式1"/>
    <w:basedOn w:val="893"/>
    <w:next w:val="972"/>
    <w:link w:val="893"/>
    <w:pPr>
      <w:numPr>
        <w:ilvl w:val="0"/>
        <w:numId w:val="2"/>
      </w:numPr>
      <w:tabs>
        <w:tab w:val="left" w:pos="1110" w:leader="none"/>
      </w:tabs>
    </w:pPr>
    <w:rPr>
      <w:rFonts w:ascii="宋体" w:hAnsi="宋体"/>
      <w:szCs w:val="21"/>
    </w:rPr>
  </w:style>
  <w:style w:type="paragraph" w:styleId="973">
    <w:name w:val="_Style 56"/>
    <w:basedOn w:val="906"/>
    <w:next w:val="973"/>
    <w:link w:val="893"/>
    <w:pPr>
      <w:spacing w:line="436" w:lineRule="exact"/>
    </w:pPr>
    <w:rPr>
      <w:szCs w:val="20"/>
    </w:rPr>
  </w:style>
  <w:style w:type="paragraph" w:styleId="974">
    <w:name w:val="Char Char1 Char Char Char Char Char Char"/>
    <w:basedOn w:val="893"/>
    <w:next w:val="974"/>
    <w:link w:val="893"/>
    <w:pPr>
      <w:jc w:val="center"/>
      <w:widowControl/>
    </w:pPr>
    <w:rPr>
      <w:rFonts w:ascii="宋体" w:hAnsi="宋体"/>
      <w:b/>
      <w:sz w:val="24"/>
      <w:lang w:eastAsia="en-US"/>
    </w:rPr>
  </w:style>
  <w:style w:type="paragraph" w:styleId="975">
    <w:name w:val="Char1"/>
    <w:basedOn w:val="893"/>
    <w:next w:val="975"/>
    <w:link w:val="893"/>
    <w:pPr>
      <w:ind w:left="840" w:hanging="420"/>
      <w:tabs>
        <w:tab w:val="left" w:pos="840" w:leader="none"/>
      </w:tabs>
    </w:pPr>
    <w:rPr>
      <w:sz w:val="24"/>
    </w:rPr>
  </w:style>
  <w:style w:type="paragraph" w:styleId="976">
    <w:name w:val="我的样式"/>
    <w:basedOn w:val="894"/>
    <w:next w:val="893"/>
    <w:link w:val="893"/>
    <w:pPr>
      <w:numPr>
        <w:ilvl w:val="0"/>
        <w:numId w:val="3"/>
      </w:numPr>
      <w:spacing w:line="360" w:lineRule="auto"/>
    </w:pPr>
    <w:rPr>
      <w:rFonts w:ascii="仿宋_GB2312" w:eastAsia="仿宋_GB2312"/>
      <w:sz w:val="32"/>
      <w:szCs w:val="30"/>
    </w:rPr>
  </w:style>
  <w:style w:type="paragraph" w:styleId="977">
    <w:name w:val="表格正文"/>
    <w:next w:val="977"/>
    <w:link w:val="893"/>
    <w:pPr>
      <w:spacing w:line="0" w:lineRule="atLeast"/>
    </w:pPr>
    <w:rPr>
      <w:sz w:val="24"/>
      <w:szCs w:val="24"/>
      <w:lang w:val="en-US" w:eastAsia="zh-CN" w:bidi="he-IL"/>
    </w:rPr>
  </w:style>
  <w:style w:type="paragraph" w:styleId="978">
    <w:name w:val=" Char Char Char Char Char Char Char Char Char Char Char Char Char"/>
    <w:basedOn w:val="893"/>
    <w:next w:val="978"/>
    <w:link w:val="893"/>
    <w:pPr>
      <w:jc w:val="left"/>
      <w:spacing w:after="160" w:line="240" w:lineRule="exact"/>
      <w:widowControl/>
    </w:pPr>
    <w:rPr>
      <w:rFonts w:ascii="Verdana" w:hAnsi="Verdana"/>
      <w:sz w:val="20"/>
      <w:szCs w:val="20"/>
      <w:lang w:eastAsia="en-US"/>
    </w:rPr>
  </w:style>
  <w:style w:type="paragraph" w:styleId="979">
    <w:name w:val="标题1"/>
    <w:basedOn w:val="894"/>
    <w:next w:val="893"/>
    <w:link w:val="893"/>
    <w:pPr>
      <w:numPr>
        <w:ilvl w:val="0"/>
        <w:numId w:val="2"/>
      </w:numPr>
      <w:jc w:val="left"/>
      <w:spacing w:line="578" w:lineRule="atLeast"/>
    </w:pPr>
  </w:style>
  <w:style w:type="paragraph" w:styleId="980">
    <w:name w:val="正文（缩进） Char1"/>
    <w:basedOn w:val="893"/>
    <w:next w:val="980"/>
    <w:link w:val="893"/>
    <w:pPr>
      <w:ind w:firstLine="480"/>
      <w:spacing w:before="156" w:after="156" w:line="360" w:lineRule="auto"/>
    </w:pPr>
    <w:rPr>
      <w:sz w:val="24"/>
    </w:rPr>
  </w:style>
  <w:style w:type="paragraph" w:styleId="981">
    <w:name w:val="修订"/>
    <w:next w:val="981"/>
    <w:link w:val="893"/>
    <w:uiPriority w:val="99"/>
    <w:semiHidden/>
    <w:rPr>
      <w:sz w:val="21"/>
      <w:szCs w:val="24"/>
      <w:lang w:val="en-US" w:eastAsia="zh-CN" w:bidi="ar-SA"/>
    </w:rPr>
  </w:style>
  <w:style w:type="paragraph" w:styleId="982">
    <w:name w:val="Style12"/>
    <w:basedOn w:val="893"/>
    <w:next w:val="982"/>
    <w:link w:val="893"/>
    <w:pPr>
      <w:jc w:val="left"/>
    </w:pPr>
    <w:rPr>
      <w:rFonts w:ascii="宋体"/>
      <w:sz w:val="24"/>
    </w:rPr>
  </w:style>
  <w:style w:type="paragraph" w:styleId="983">
    <w:name w:val="正文文本 21"/>
    <w:basedOn w:val="893"/>
    <w:next w:val="983"/>
    <w:link w:val="893"/>
    <w:qFormat/>
    <w:pPr>
      <w:spacing w:line="440" w:lineRule="exact"/>
    </w:pPr>
    <w:rPr>
      <w:rFonts w:ascii="楷体_GB2312" w:eastAsia="楷体_GB2312"/>
      <w:sz w:val="28"/>
    </w:rPr>
  </w:style>
  <w:style w:type="table" w:styleId="984">
    <w:name w:val="网格型1"/>
    <w:basedOn w:val="985"/>
    <w:next w:val="984"/>
    <w:link w:val="89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85">
    <w:name w:val="普通表格1"/>
    <w:next w:val="985"/>
    <w:link w:val="893"/>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5</cp:revision>
  <dcterms:created xsi:type="dcterms:W3CDTF">2024-01-08T08:47:00Z</dcterms:created>
  <dcterms:modified xsi:type="dcterms:W3CDTF">2026-04-03T06:15:31Z</dcterms:modified>
</cp:coreProperties>
</file>